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AE3" w:rsidRPr="0042647C" w:rsidRDefault="007324BE" w:rsidP="00597AE3">
      <w:pPr>
        <w:jc w:val="center"/>
      </w:pPr>
      <w:bookmarkStart w:id="0" w:name="_GoBack"/>
      <w:bookmarkEnd w:id="0"/>
      <w:r w:rsidRPr="0042647C">
        <w:rPr>
          <w:b/>
          <w:u w:val="single"/>
        </w:rPr>
        <w:t>CONSUMER PRIVACY BILL OF RIGHTS</w:t>
      </w:r>
    </w:p>
    <w:p w:rsidR="002F682C" w:rsidRDefault="002F682C" w:rsidP="002F682C"/>
    <w:tbl>
      <w:tblPr>
        <w:tblStyle w:val="TableGrid"/>
        <w:tblW w:w="17996" w:type="dxa"/>
        <w:tblLook w:val="04A0" w:firstRow="1" w:lastRow="0" w:firstColumn="1" w:lastColumn="0" w:noHBand="0" w:noVBand="1"/>
      </w:tblPr>
      <w:tblGrid>
        <w:gridCol w:w="2268"/>
        <w:gridCol w:w="1913"/>
        <w:gridCol w:w="2180"/>
        <w:gridCol w:w="1896"/>
        <w:gridCol w:w="1900"/>
        <w:gridCol w:w="1910"/>
        <w:gridCol w:w="1926"/>
        <w:gridCol w:w="2139"/>
        <w:gridCol w:w="1864"/>
      </w:tblGrid>
      <w:tr w:rsidR="004C319D" w:rsidRPr="000515EC" w:rsidTr="00585442">
        <w:tc>
          <w:tcPr>
            <w:tcW w:w="2268" w:type="dxa"/>
            <w:tcBorders>
              <w:tl2br w:val="single" w:sz="18" w:space="0" w:color="auto"/>
            </w:tcBorders>
            <w:shd w:val="clear" w:color="auto" w:fill="DBE5F1" w:themeFill="accent1" w:themeFillTint="33"/>
            <w:vAlign w:val="center"/>
          </w:tcPr>
          <w:p w:rsidR="004C319D" w:rsidRPr="0003461C" w:rsidRDefault="004C319D" w:rsidP="00AE13F5">
            <w:pPr>
              <w:jc w:val="center"/>
              <w:rPr>
                <w:b/>
                <w:caps/>
                <w:sz w:val="20"/>
                <w:szCs w:val="20"/>
                <w:u w:val="single"/>
              </w:rPr>
            </w:pPr>
            <w:r w:rsidRPr="0003461C">
              <w:rPr>
                <w:b/>
                <w:caps/>
                <w:sz w:val="20"/>
                <w:szCs w:val="20"/>
                <w:u w:val="single"/>
              </w:rPr>
              <w:t>Issues</w:t>
            </w:r>
          </w:p>
          <w:p w:rsidR="004C319D" w:rsidRDefault="004C319D" w:rsidP="00AE13F5">
            <w:pPr>
              <w:jc w:val="center"/>
              <w:rPr>
                <w:b/>
                <w:caps/>
                <w:sz w:val="20"/>
                <w:szCs w:val="20"/>
              </w:rPr>
            </w:pPr>
          </w:p>
          <w:p w:rsidR="004C319D" w:rsidRDefault="004C319D" w:rsidP="00AE13F5">
            <w:pPr>
              <w:jc w:val="center"/>
              <w:rPr>
                <w:b/>
                <w:caps/>
                <w:sz w:val="20"/>
                <w:szCs w:val="20"/>
              </w:rPr>
            </w:pPr>
          </w:p>
          <w:p w:rsidR="003570F3" w:rsidRDefault="003570F3" w:rsidP="00AE13F5">
            <w:pPr>
              <w:jc w:val="center"/>
              <w:rPr>
                <w:b/>
                <w:caps/>
                <w:sz w:val="20"/>
                <w:szCs w:val="20"/>
              </w:rPr>
            </w:pPr>
          </w:p>
          <w:p w:rsidR="00585442" w:rsidRDefault="00585442" w:rsidP="00AE13F5">
            <w:pPr>
              <w:jc w:val="center"/>
              <w:rPr>
                <w:b/>
                <w:caps/>
                <w:sz w:val="20"/>
                <w:szCs w:val="20"/>
              </w:rPr>
            </w:pPr>
          </w:p>
          <w:p w:rsidR="004C319D" w:rsidRDefault="004C319D" w:rsidP="00AE13F5">
            <w:pPr>
              <w:jc w:val="center"/>
              <w:rPr>
                <w:b/>
                <w:caps/>
                <w:sz w:val="20"/>
                <w:szCs w:val="20"/>
              </w:rPr>
            </w:pPr>
          </w:p>
          <w:p w:rsidR="004C319D" w:rsidRDefault="004C319D" w:rsidP="00AE13F5">
            <w:pPr>
              <w:jc w:val="center"/>
              <w:rPr>
                <w:b/>
                <w:caps/>
                <w:sz w:val="20"/>
                <w:szCs w:val="20"/>
              </w:rPr>
            </w:pPr>
          </w:p>
          <w:p w:rsidR="004C319D" w:rsidRDefault="004C319D" w:rsidP="00AE13F5">
            <w:pPr>
              <w:jc w:val="center"/>
              <w:rPr>
                <w:b/>
                <w:caps/>
                <w:sz w:val="20"/>
                <w:szCs w:val="20"/>
              </w:rPr>
            </w:pPr>
          </w:p>
          <w:p w:rsidR="004C319D" w:rsidRDefault="004C319D" w:rsidP="00AE13F5">
            <w:pPr>
              <w:jc w:val="center"/>
              <w:rPr>
                <w:b/>
                <w:caps/>
                <w:sz w:val="20"/>
                <w:szCs w:val="20"/>
              </w:rPr>
            </w:pPr>
          </w:p>
          <w:p w:rsidR="004C319D" w:rsidRDefault="004C319D" w:rsidP="00AE13F5">
            <w:pPr>
              <w:jc w:val="center"/>
              <w:rPr>
                <w:b/>
                <w:caps/>
                <w:sz w:val="20"/>
                <w:szCs w:val="20"/>
              </w:rPr>
            </w:pPr>
          </w:p>
          <w:p w:rsidR="004C319D" w:rsidRDefault="004C319D" w:rsidP="00AE13F5">
            <w:pPr>
              <w:jc w:val="center"/>
              <w:rPr>
                <w:b/>
                <w:caps/>
                <w:sz w:val="20"/>
                <w:szCs w:val="20"/>
              </w:rPr>
            </w:pPr>
          </w:p>
          <w:p w:rsidR="004C319D" w:rsidRDefault="004C319D" w:rsidP="00AE13F5">
            <w:pPr>
              <w:jc w:val="center"/>
              <w:rPr>
                <w:b/>
                <w:caps/>
                <w:sz w:val="20"/>
                <w:szCs w:val="20"/>
              </w:rPr>
            </w:pPr>
          </w:p>
          <w:p w:rsidR="004C319D" w:rsidRPr="0003461C" w:rsidRDefault="004C319D" w:rsidP="007D6A22">
            <w:pPr>
              <w:ind w:left="-90"/>
              <w:jc w:val="center"/>
              <w:rPr>
                <w:b/>
                <w:caps/>
                <w:sz w:val="20"/>
                <w:szCs w:val="20"/>
                <w:u w:val="single"/>
              </w:rPr>
            </w:pPr>
            <w:r w:rsidRPr="0003461C">
              <w:rPr>
                <w:b/>
                <w:caps/>
                <w:sz w:val="20"/>
                <w:szCs w:val="20"/>
                <w:u w:val="single"/>
              </w:rPr>
              <w:t>Use CaseS</w:t>
            </w:r>
          </w:p>
        </w:tc>
        <w:tc>
          <w:tcPr>
            <w:tcW w:w="1913" w:type="dxa"/>
            <w:shd w:val="clear" w:color="auto" w:fill="DBE5F1" w:themeFill="accent1" w:themeFillTint="33"/>
          </w:tcPr>
          <w:p w:rsidR="004C319D" w:rsidRPr="0067043C" w:rsidRDefault="004C319D" w:rsidP="000660B2">
            <w:pPr>
              <w:rPr>
                <w:sz w:val="20"/>
                <w:szCs w:val="20"/>
              </w:rPr>
            </w:pPr>
            <w:r w:rsidRPr="0067043C">
              <w:rPr>
                <w:b/>
                <w:caps/>
                <w:sz w:val="20"/>
                <w:szCs w:val="20"/>
              </w:rPr>
              <w:t>Individual Control:</w:t>
            </w:r>
            <w:r w:rsidRPr="0067043C">
              <w:rPr>
                <w:sz w:val="20"/>
                <w:szCs w:val="20"/>
              </w:rPr>
              <w:t xml:space="preserve">  Consumers have a right to exercise control over what personal data companies collect from them and how they use it.</w:t>
            </w:r>
            <w:r w:rsidRPr="0067043C">
              <w:rPr>
                <w:rStyle w:val="EndnoteReference"/>
                <w:sz w:val="20"/>
                <w:szCs w:val="20"/>
              </w:rPr>
              <w:endnoteReference w:id="1"/>
            </w:r>
          </w:p>
        </w:tc>
        <w:tc>
          <w:tcPr>
            <w:tcW w:w="2180" w:type="dxa"/>
            <w:shd w:val="clear" w:color="auto" w:fill="DBE5F1" w:themeFill="accent1" w:themeFillTint="33"/>
          </w:tcPr>
          <w:p w:rsidR="004C319D" w:rsidRPr="0067043C" w:rsidRDefault="004C319D" w:rsidP="009151BF">
            <w:pPr>
              <w:rPr>
                <w:sz w:val="20"/>
                <w:szCs w:val="20"/>
              </w:rPr>
            </w:pPr>
            <w:r w:rsidRPr="0067043C">
              <w:rPr>
                <w:b/>
                <w:caps/>
                <w:sz w:val="20"/>
                <w:szCs w:val="20"/>
              </w:rPr>
              <w:t>Transparency:</w:t>
            </w:r>
            <w:r w:rsidRPr="0067043C">
              <w:rPr>
                <w:sz w:val="20"/>
                <w:szCs w:val="20"/>
              </w:rPr>
              <w:t xml:space="preserve">  Consumers have a right to easily understandable and accessible information about privacy and security practices.</w:t>
            </w:r>
            <w:r w:rsidRPr="0067043C">
              <w:rPr>
                <w:rStyle w:val="EndnoteReference"/>
                <w:sz w:val="20"/>
                <w:szCs w:val="20"/>
              </w:rPr>
              <w:endnoteReference w:id="2"/>
            </w:r>
          </w:p>
        </w:tc>
        <w:tc>
          <w:tcPr>
            <w:tcW w:w="1896" w:type="dxa"/>
            <w:shd w:val="clear" w:color="auto" w:fill="DBE5F1" w:themeFill="accent1" w:themeFillTint="33"/>
          </w:tcPr>
          <w:p w:rsidR="004C319D" w:rsidRPr="0067043C" w:rsidRDefault="004C319D" w:rsidP="009151BF">
            <w:pPr>
              <w:rPr>
                <w:sz w:val="20"/>
                <w:szCs w:val="20"/>
              </w:rPr>
            </w:pPr>
            <w:r w:rsidRPr="0067043C">
              <w:rPr>
                <w:b/>
                <w:sz w:val="20"/>
                <w:szCs w:val="20"/>
              </w:rPr>
              <w:t>RESPECT FOR CONTEXT:</w:t>
            </w:r>
            <w:r w:rsidRPr="0067043C">
              <w:rPr>
                <w:sz w:val="20"/>
                <w:szCs w:val="20"/>
              </w:rPr>
              <w:t xml:space="preserve">  Consumers have a right to expect that companies will collect, use, and disclose personal data in ways that are consistent with the context in which consumers provide the data.</w:t>
            </w:r>
            <w:r w:rsidRPr="0067043C">
              <w:rPr>
                <w:rStyle w:val="EndnoteReference"/>
                <w:sz w:val="20"/>
                <w:szCs w:val="20"/>
              </w:rPr>
              <w:endnoteReference w:id="3"/>
            </w:r>
          </w:p>
        </w:tc>
        <w:tc>
          <w:tcPr>
            <w:tcW w:w="1900" w:type="dxa"/>
            <w:shd w:val="clear" w:color="auto" w:fill="DBE5F1" w:themeFill="accent1" w:themeFillTint="33"/>
          </w:tcPr>
          <w:p w:rsidR="004C319D" w:rsidRPr="0067043C" w:rsidRDefault="004C319D" w:rsidP="00A77CCB">
            <w:pPr>
              <w:rPr>
                <w:sz w:val="20"/>
                <w:szCs w:val="20"/>
              </w:rPr>
            </w:pPr>
            <w:r w:rsidRPr="0067043C">
              <w:rPr>
                <w:b/>
                <w:sz w:val="20"/>
                <w:szCs w:val="20"/>
              </w:rPr>
              <w:t>SECURITY:</w:t>
            </w:r>
            <w:r w:rsidRPr="0067043C">
              <w:rPr>
                <w:sz w:val="20"/>
                <w:szCs w:val="20"/>
              </w:rPr>
              <w:t xml:space="preserve">  Consumers have a right to secure and responsible handling of personal data.</w:t>
            </w:r>
            <w:r w:rsidRPr="0067043C">
              <w:rPr>
                <w:rStyle w:val="EndnoteReference"/>
                <w:sz w:val="20"/>
                <w:szCs w:val="20"/>
              </w:rPr>
              <w:endnoteReference w:id="4"/>
            </w:r>
          </w:p>
        </w:tc>
        <w:tc>
          <w:tcPr>
            <w:tcW w:w="1910" w:type="dxa"/>
            <w:shd w:val="clear" w:color="auto" w:fill="DBE5F1" w:themeFill="accent1" w:themeFillTint="33"/>
          </w:tcPr>
          <w:p w:rsidR="004C319D" w:rsidRPr="0067043C" w:rsidRDefault="004C319D" w:rsidP="00E53343">
            <w:pPr>
              <w:rPr>
                <w:sz w:val="20"/>
                <w:szCs w:val="20"/>
              </w:rPr>
            </w:pPr>
            <w:r w:rsidRPr="0067043C">
              <w:rPr>
                <w:b/>
                <w:sz w:val="20"/>
                <w:szCs w:val="20"/>
              </w:rPr>
              <w:t>ACCESS AND ACCURACY:</w:t>
            </w:r>
            <w:r w:rsidRPr="0067043C">
              <w:rPr>
                <w:sz w:val="20"/>
                <w:szCs w:val="20"/>
              </w:rPr>
              <w:t xml:space="preserve">  Consumers have a right to access and correct personal data in usable formats, in a manner that is appropriate to the sensitivity of the data and the risk of adverse consequences to consumers if the data is inaccurate.</w:t>
            </w:r>
            <w:r w:rsidRPr="0067043C">
              <w:rPr>
                <w:rStyle w:val="EndnoteReference"/>
                <w:sz w:val="20"/>
                <w:szCs w:val="20"/>
              </w:rPr>
              <w:endnoteReference w:id="5"/>
            </w:r>
          </w:p>
        </w:tc>
        <w:tc>
          <w:tcPr>
            <w:tcW w:w="1926" w:type="dxa"/>
            <w:shd w:val="clear" w:color="auto" w:fill="DBE5F1" w:themeFill="accent1" w:themeFillTint="33"/>
          </w:tcPr>
          <w:p w:rsidR="004C319D" w:rsidRPr="0067043C" w:rsidRDefault="004C319D" w:rsidP="00A77CCB">
            <w:pPr>
              <w:rPr>
                <w:sz w:val="20"/>
                <w:szCs w:val="20"/>
              </w:rPr>
            </w:pPr>
            <w:r w:rsidRPr="0067043C">
              <w:rPr>
                <w:b/>
                <w:sz w:val="20"/>
                <w:szCs w:val="20"/>
              </w:rPr>
              <w:t>FOCUSED COLLECTION:</w:t>
            </w:r>
            <w:r w:rsidRPr="0067043C">
              <w:rPr>
                <w:sz w:val="20"/>
                <w:szCs w:val="20"/>
              </w:rPr>
              <w:t xml:space="preserve">  Consumers have a right to reasonable limits on the personal data that companies collect and retain.</w:t>
            </w:r>
            <w:r w:rsidRPr="0067043C">
              <w:rPr>
                <w:rStyle w:val="EndnoteReference"/>
                <w:sz w:val="20"/>
                <w:szCs w:val="20"/>
              </w:rPr>
              <w:endnoteReference w:id="6"/>
            </w:r>
          </w:p>
        </w:tc>
        <w:tc>
          <w:tcPr>
            <w:tcW w:w="2139" w:type="dxa"/>
            <w:shd w:val="clear" w:color="auto" w:fill="DBE5F1" w:themeFill="accent1" w:themeFillTint="33"/>
          </w:tcPr>
          <w:p w:rsidR="004C319D" w:rsidRPr="0067043C" w:rsidRDefault="004C319D" w:rsidP="002B754C">
            <w:pPr>
              <w:rPr>
                <w:sz w:val="20"/>
                <w:szCs w:val="20"/>
              </w:rPr>
            </w:pPr>
            <w:r w:rsidRPr="0067043C">
              <w:rPr>
                <w:b/>
                <w:sz w:val="20"/>
                <w:szCs w:val="20"/>
              </w:rPr>
              <w:t>ACCOUNTABILITY:</w:t>
            </w:r>
            <w:r w:rsidRPr="0067043C">
              <w:rPr>
                <w:sz w:val="20"/>
                <w:szCs w:val="20"/>
              </w:rPr>
              <w:t xml:space="preserve">  Consumers have a right to have personal data handled by companies with appropriate measures in place to assure they adhere to the Consumer Privacy Bill of Rights.</w:t>
            </w:r>
            <w:r w:rsidRPr="0067043C">
              <w:rPr>
                <w:rStyle w:val="EndnoteReference"/>
                <w:sz w:val="20"/>
                <w:szCs w:val="20"/>
              </w:rPr>
              <w:endnoteReference w:id="7"/>
            </w:r>
          </w:p>
        </w:tc>
        <w:tc>
          <w:tcPr>
            <w:tcW w:w="1864" w:type="dxa"/>
            <w:shd w:val="clear" w:color="auto" w:fill="DBE5F1" w:themeFill="accent1" w:themeFillTint="33"/>
          </w:tcPr>
          <w:p w:rsidR="004C319D" w:rsidRPr="00CB5A16" w:rsidRDefault="004C319D" w:rsidP="00A77CCB">
            <w:pPr>
              <w:rPr>
                <w:b/>
                <w:sz w:val="20"/>
                <w:szCs w:val="20"/>
                <w:highlight w:val="cyan"/>
              </w:rPr>
            </w:pPr>
            <w:r w:rsidRPr="00243389">
              <w:rPr>
                <w:b/>
                <w:color w:val="000000" w:themeColor="text1"/>
                <w:sz w:val="20"/>
                <w:szCs w:val="20"/>
              </w:rPr>
              <w:t>FIRST AMENDMENT</w:t>
            </w:r>
            <w:r>
              <w:rPr>
                <w:b/>
                <w:color w:val="000000" w:themeColor="text1"/>
                <w:sz w:val="20"/>
                <w:szCs w:val="20"/>
              </w:rPr>
              <w:t xml:space="preserve">: </w:t>
            </w:r>
          </w:p>
        </w:tc>
      </w:tr>
      <w:tr w:rsidR="004C319D" w:rsidRPr="000515EC" w:rsidTr="003570F3">
        <w:tc>
          <w:tcPr>
            <w:tcW w:w="2268" w:type="dxa"/>
            <w:shd w:val="clear" w:color="auto" w:fill="auto"/>
          </w:tcPr>
          <w:p w:rsidR="004C319D" w:rsidRPr="000515EC" w:rsidRDefault="004C319D" w:rsidP="00AE13F5">
            <w:pPr>
              <w:jc w:val="center"/>
              <w:rPr>
                <w:b/>
                <w:sz w:val="20"/>
                <w:szCs w:val="20"/>
              </w:rPr>
            </w:pPr>
          </w:p>
        </w:tc>
        <w:tc>
          <w:tcPr>
            <w:tcW w:w="1913" w:type="dxa"/>
            <w:shd w:val="clear" w:color="auto" w:fill="auto"/>
          </w:tcPr>
          <w:p w:rsidR="004C319D" w:rsidRPr="000515EC" w:rsidRDefault="004C319D" w:rsidP="00A77CCB">
            <w:pPr>
              <w:rPr>
                <w:sz w:val="20"/>
                <w:szCs w:val="20"/>
              </w:rPr>
            </w:pPr>
          </w:p>
        </w:tc>
        <w:tc>
          <w:tcPr>
            <w:tcW w:w="2180" w:type="dxa"/>
            <w:shd w:val="clear" w:color="auto" w:fill="auto"/>
          </w:tcPr>
          <w:p w:rsidR="004C319D" w:rsidRPr="000515EC" w:rsidRDefault="004C319D" w:rsidP="00A77CCB">
            <w:pPr>
              <w:rPr>
                <w:sz w:val="20"/>
                <w:szCs w:val="20"/>
              </w:rPr>
            </w:pPr>
          </w:p>
        </w:tc>
        <w:tc>
          <w:tcPr>
            <w:tcW w:w="1896" w:type="dxa"/>
            <w:shd w:val="clear" w:color="auto" w:fill="auto"/>
          </w:tcPr>
          <w:p w:rsidR="004C319D" w:rsidRPr="000515EC" w:rsidRDefault="004C319D" w:rsidP="00A77CCB">
            <w:pPr>
              <w:rPr>
                <w:sz w:val="20"/>
                <w:szCs w:val="20"/>
              </w:rPr>
            </w:pPr>
          </w:p>
        </w:tc>
        <w:tc>
          <w:tcPr>
            <w:tcW w:w="1900" w:type="dxa"/>
            <w:shd w:val="clear" w:color="auto" w:fill="auto"/>
          </w:tcPr>
          <w:p w:rsidR="004C319D" w:rsidRPr="000515EC" w:rsidRDefault="004C319D" w:rsidP="00A77CCB">
            <w:pPr>
              <w:rPr>
                <w:sz w:val="20"/>
                <w:szCs w:val="20"/>
              </w:rPr>
            </w:pPr>
          </w:p>
        </w:tc>
        <w:tc>
          <w:tcPr>
            <w:tcW w:w="1910" w:type="dxa"/>
            <w:shd w:val="clear" w:color="auto" w:fill="auto"/>
          </w:tcPr>
          <w:p w:rsidR="004C319D" w:rsidRPr="000515EC" w:rsidRDefault="004C319D" w:rsidP="00A77CCB">
            <w:pPr>
              <w:rPr>
                <w:sz w:val="20"/>
                <w:szCs w:val="20"/>
              </w:rPr>
            </w:pPr>
          </w:p>
        </w:tc>
        <w:tc>
          <w:tcPr>
            <w:tcW w:w="1926" w:type="dxa"/>
            <w:shd w:val="clear" w:color="auto" w:fill="auto"/>
          </w:tcPr>
          <w:p w:rsidR="004C319D" w:rsidRPr="000515EC" w:rsidRDefault="004C319D" w:rsidP="00A77CCB">
            <w:pPr>
              <w:rPr>
                <w:sz w:val="20"/>
                <w:szCs w:val="20"/>
              </w:rPr>
            </w:pPr>
          </w:p>
        </w:tc>
        <w:tc>
          <w:tcPr>
            <w:tcW w:w="2139" w:type="dxa"/>
            <w:shd w:val="clear" w:color="auto" w:fill="auto"/>
          </w:tcPr>
          <w:p w:rsidR="004C319D" w:rsidRPr="000515EC" w:rsidRDefault="004C319D" w:rsidP="00A77CCB">
            <w:pPr>
              <w:rPr>
                <w:sz w:val="20"/>
                <w:szCs w:val="20"/>
              </w:rPr>
            </w:pPr>
          </w:p>
        </w:tc>
        <w:tc>
          <w:tcPr>
            <w:tcW w:w="1864" w:type="dxa"/>
            <w:shd w:val="clear" w:color="auto" w:fill="auto"/>
          </w:tcPr>
          <w:p w:rsidR="004C319D" w:rsidRPr="000515EC" w:rsidRDefault="004C319D" w:rsidP="00A77CCB">
            <w:pPr>
              <w:rPr>
                <w:sz w:val="20"/>
                <w:szCs w:val="20"/>
              </w:rPr>
            </w:pPr>
          </w:p>
        </w:tc>
      </w:tr>
      <w:tr w:rsidR="004C319D" w:rsidRPr="000515EC" w:rsidTr="003570F3">
        <w:tc>
          <w:tcPr>
            <w:tcW w:w="2268" w:type="dxa"/>
          </w:tcPr>
          <w:p w:rsidR="004C319D" w:rsidRDefault="002A6CE2" w:rsidP="002A6CE2">
            <w:pPr>
              <w:jc w:val="both"/>
              <w:rPr>
                <w:b/>
                <w:sz w:val="20"/>
                <w:szCs w:val="20"/>
                <w:u w:val="single"/>
              </w:rPr>
            </w:pPr>
            <w:r w:rsidRPr="00CB6F8F">
              <w:rPr>
                <w:b/>
                <w:sz w:val="20"/>
                <w:szCs w:val="20"/>
                <w:u w:val="single"/>
              </w:rPr>
              <w:t>Use Case #1</w:t>
            </w:r>
          </w:p>
          <w:p w:rsidR="0017514D" w:rsidRPr="00CB6F8F" w:rsidRDefault="0017514D" w:rsidP="002A6CE2">
            <w:pPr>
              <w:jc w:val="both"/>
              <w:rPr>
                <w:b/>
                <w:sz w:val="20"/>
                <w:szCs w:val="20"/>
                <w:u w:val="single"/>
              </w:rPr>
            </w:pPr>
          </w:p>
          <w:p w:rsidR="002A6CE2" w:rsidRDefault="002A6CE2" w:rsidP="002A6CE2">
            <w:pPr>
              <w:jc w:val="both"/>
              <w:rPr>
                <w:bCs/>
                <w:sz w:val="20"/>
                <w:szCs w:val="20"/>
                <w:lang w:bidi="en-US"/>
              </w:rPr>
            </w:pPr>
            <w:r w:rsidRPr="002A6CE2">
              <w:rPr>
                <w:sz w:val="20"/>
                <w:szCs w:val="20"/>
                <w:lang w:bidi="en-US"/>
              </w:rPr>
              <w:t xml:space="preserve">A pro-pot legalization march is held in Sacramento, CA within full view of dozens of public and private surveillance cameras.  Corporations use facial recognition technology to sell pot tours to Colorado and other products that they have found to be linked to favorable views on marijuana.  </w:t>
            </w:r>
            <w:r w:rsidRPr="002A6CE2">
              <w:rPr>
                <w:bCs/>
                <w:sz w:val="20"/>
                <w:szCs w:val="20"/>
                <w:lang w:bidi="en-US"/>
              </w:rPr>
              <w:t>Law enforcement agencies seek to obtain facial recognition data from companies to identify law breakers.</w:t>
            </w:r>
          </w:p>
          <w:p w:rsidR="0017514D" w:rsidRPr="002A6CE2" w:rsidRDefault="0017514D" w:rsidP="002A6CE2">
            <w:pPr>
              <w:jc w:val="both"/>
              <w:rPr>
                <w:sz w:val="20"/>
                <w:szCs w:val="20"/>
              </w:rPr>
            </w:pPr>
          </w:p>
        </w:tc>
        <w:tc>
          <w:tcPr>
            <w:tcW w:w="1913" w:type="dxa"/>
          </w:tcPr>
          <w:p w:rsidR="004C319D" w:rsidRDefault="004C319D" w:rsidP="00A77CCB">
            <w:pPr>
              <w:rPr>
                <w:sz w:val="20"/>
                <w:szCs w:val="20"/>
              </w:rPr>
            </w:pPr>
          </w:p>
          <w:p w:rsidR="004C319D" w:rsidRDefault="004C319D" w:rsidP="00A77CCB">
            <w:pPr>
              <w:rPr>
                <w:sz w:val="20"/>
                <w:szCs w:val="20"/>
              </w:rPr>
            </w:pPr>
          </w:p>
          <w:p w:rsidR="004C319D" w:rsidRPr="000515EC" w:rsidRDefault="004C319D" w:rsidP="00A77CCB">
            <w:pPr>
              <w:rPr>
                <w:sz w:val="20"/>
                <w:szCs w:val="20"/>
              </w:rPr>
            </w:pPr>
          </w:p>
        </w:tc>
        <w:tc>
          <w:tcPr>
            <w:tcW w:w="2180" w:type="dxa"/>
          </w:tcPr>
          <w:p w:rsidR="004C319D" w:rsidRPr="000515EC" w:rsidRDefault="004C319D" w:rsidP="00A77CCB">
            <w:pPr>
              <w:rPr>
                <w:sz w:val="20"/>
                <w:szCs w:val="20"/>
              </w:rPr>
            </w:pPr>
          </w:p>
        </w:tc>
        <w:tc>
          <w:tcPr>
            <w:tcW w:w="1896" w:type="dxa"/>
          </w:tcPr>
          <w:p w:rsidR="004C319D" w:rsidRPr="000515EC" w:rsidRDefault="004C319D" w:rsidP="00A77CCB">
            <w:pPr>
              <w:rPr>
                <w:sz w:val="20"/>
                <w:szCs w:val="20"/>
              </w:rPr>
            </w:pPr>
          </w:p>
        </w:tc>
        <w:tc>
          <w:tcPr>
            <w:tcW w:w="1900" w:type="dxa"/>
          </w:tcPr>
          <w:p w:rsidR="004C319D" w:rsidRPr="000515EC" w:rsidRDefault="004C319D" w:rsidP="00A77CCB">
            <w:pPr>
              <w:rPr>
                <w:sz w:val="20"/>
                <w:szCs w:val="20"/>
              </w:rPr>
            </w:pPr>
          </w:p>
        </w:tc>
        <w:tc>
          <w:tcPr>
            <w:tcW w:w="1910" w:type="dxa"/>
          </w:tcPr>
          <w:p w:rsidR="004C319D" w:rsidRPr="000515EC" w:rsidRDefault="004C319D" w:rsidP="00A77CCB">
            <w:pPr>
              <w:rPr>
                <w:sz w:val="20"/>
                <w:szCs w:val="20"/>
              </w:rPr>
            </w:pPr>
          </w:p>
        </w:tc>
        <w:tc>
          <w:tcPr>
            <w:tcW w:w="1926" w:type="dxa"/>
          </w:tcPr>
          <w:p w:rsidR="004C319D" w:rsidRPr="000515EC" w:rsidRDefault="004C319D" w:rsidP="00A77CCB">
            <w:pPr>
              <w:rPr>
                <w:sz w:val="20"/>
                <w:szCs w:val="20"/>
              </w:rPr>
            </w:pPr>
          </w:p>
        </w:tc>
        <w:tc>
          <w:tcPr>
            <w:tcW w:w="2139" w:type="dxa"/>
          </w:tcPr>
          <w:p w:rsidR="004C319D" w:rsidRPr="000515EC" w:rsidRDefault="004C319D" w:rsidP="00A77CCB">
            <w:pPr>
              <w:rPr>
                <w:sz w:val="20"/>
                <w:szCs w:val="20"/>
              </w:rPr>
            </w:pPr>
          </w:p>
        </w:tc>
        <w:tc>
          <w:tcPr>
            <w:tcW w:w="1864" w:type="dxa"/>
          </w:tcPr>
          <w:p w:rsidR="004C319D" w:rsidRPr="000515EC" w:rsidRDefault="004C319D" w:rsidP="00A77CCB">
            <w:pPr>
              <w:rPr>
                <w:sz w:val="20"/>
                <w:szCs w:val="20"/>
              </w:rPr>
            </w:pPr>
          </w:p>
        </w:tc>
      </w:tr>
      <w:tr w:rsidR="004C319D" w:rsidRPr="000515EC" w:rsidTr="003570F3">
        <w:trPr>
          <w:cantSplit/>
          <w:trHeight w:val="1134"/>
        </w:trPr>
        <w:tc>
          <w:tcPr>
            <w:tcW w:w="2268" w:type="dxa"/>
          </w:tcPr>
          <w:p w:rsidR="004C319D" w:rsidRDefault="004C394B" w:rsidP="004C394B">
            <w:pPr>
              <w:rPr>
                <w:b/>
                <w:sz w:val="20"/>
                <w:szCs w:val="20"/>
                <w:u w:val="single"/>
              </w:rPr>
            </w:pPr>
            <w:r w:rsidRPr="004C394B">
              <w:rPr>
                <w:b/>
                <w:sz w:val="20"/>
                <w:szCs w:val="20"/>
                <w:u w:val="single"/>
              </w:rPr>
              <w:lastRenderedPageBreak/>
              <w:t>Use Case #4</w:t>
            </w:r>
          </w:p>
          <w:p w:rsidR="00414D70" w:rsidRPr="004C394B" w:rsidRDefault="00414D70" w:rsidP="004C394B">
            <w:pPr>
              <w:rPr>
                <w:b/>
                <w:sz w:val="20"/>
                <w:szCs w:val="20"/>
                <w:u w:val="single"/>
              </w:rPr>
            </w:pPr>
          </w:p>
          <w:p w:rsidR="004C394B" w:rsidRDefault="003F5D5E" w:rsidP="004C394B">
            <w:pPr>
              <w:rPr>
                <w:sz w:val="20"/>
                <w:szCs w:val="20"/>
                <w:lang w:bidi="en-US"/>
              </w:rPr>
            </w:pPr>
            <w:r w:rsidRPr="003F5D5E">
              <w:rPr>
                <w:sz w:val="20"/>
                <w:szCs w:val="20"/>
                <w:lang w:bidi="en-US"/>
              </w:rPr>
              <w:t>Photos are taken of people in casinos and matched with photos from social networking sites for purposes of identifying them and selling that information to data brokers who would put them on lists of ‘people who like to take chances.’  These lists could then be used to solicit them for bogus sweepstakes and lotteries, investments, and business opportunities.</w:t>
            </w:r>
          </w:p>
          <w:p w:rsidR="003106C4" w:rsidRPr="004C394B" w:rsidRDefault="003106C4" w:rsidP="004C394B">
            <w:pPr>
              <w:rPr>
                <w:sz w:val="20"/>
                <w:szCs w:val="20"/>
              </w:rPr>
            </w:pPr>
          </w:p>
        </w:tc>
        <w:tc>
          <w:tcPr>
            <w:tcW w:w="1913" w:type="dxa"/>
          </w:tcPr>
          <w:p w:rsidR="004C319D" w:rsidRDefault="004C319D" w:rsidP="00A77CCB">
            <w:pPr>
              <w:rPr>
                <w:sz w:val="20"/>
                <w:szCs w:val="20"/>
              </w:rPr>
            </w:pPr>
          </w:p>
          <w:p w:rsidR="004C319D" w:rsidRDefault="004C319D" w:rsidP="00A77CCB">
            <w:pPr>
              <w:rPr>
                <w:sz w:val="20"/>
                <w:szCs w:val="20"/>
              </w:rPr>
            </w:pPr>
          </w:p>
          <w:p w:rsidR="004C319D" w:rsidRPr="000515EC" w:rsidRDefault="004C319D" w:rsidP="00A77CCB">
            <w:pPr>
              <w:rPr>
                <w:sz w:val="20"/>
                <w:szCs w:val="20"/>
              </w:rPr>
            </w:pPr>
          </w:p>
        </w:tc>
        <w:tc>
          <w:tcPr>
            <w:tcW w:w="2180" w:type="dxa"/>
          </w:tcPr>
          <w:p w:rsidR="004C319D" w:rsidRPr="000515EC" w:rsidRDefault="004C319D" w:rsidP="00A77CCB">
            <w:pPr>
              <w:rPr>
                <w:sz w:val="20"/>
                <w:szCs w:val="20"/>
              </w:rPr>
            </w:pPr>
          </w:p>
        </w:tc>
        <w:tc>
          <w:tcPr>
            <w:tcW w:w="1896" w:type="dxa"/>
          </w:tcPr>
          <w:p w:rsidR="004C319D" w:rsidRPr="000515EC" w:rsidRDefault="004C319D" w:rsidP="00E25E05">
            <w:pPr>
              <w:rPr>
                <w:sz w:val="20"/>
                <w:szCs w:val="20"/>
              </w:rPr>
            </w:pPr>
          </w:p>
        </w:tc>
        <w:tc>
          <w:tcPr>
            <w:tcW w:w="1900" w:type="dxa"/>
          </w:tcPr>
          <w:p w:rsidR="004C319D" w:rsidRPr="000515EC" w:rsidRDefault="004C319D" w:rsidP="00A77CCB">
            <w:pPr>
              <w:rPr>
                <w:sz w:val="20"/>
                <w:szCs w:val="20"/>
              </w:rPr>
            </w:pPr>
          </w:p>
        </w:tc>
        <w:tc>
          <w:tcPr>
            <w:tcW w:w="1910" w:type="dxa"/>
          </w:tcPr>
          <w:p w:rsidR="004C319D" w:rsidRPr="000515EC" w:rsidRDefault="004C319D" w:rsidP="00A77CCB">
            <w:pPr>
              <w:rPr>
                <w:sz w:val="20"/>
                <w:szCs w:val="20"/>
              </w:rPr>
            </w:pPr>
          </w:p>
        </w:tc>
        <w:tc>
          <w:tcPr>
            <w:tcW w:w="1926" w:type="dxa"/>
          </w:tcPr>
          <w:p w:rsidR="004C319D" w:rsidRPr="000515EC" w:rsidRDefault="004C319D" w:rsidP="00A77CCB">
            <w:pPr>
              <w:rPr>
                <w:sz w:val="20"/>
                <w:szCs w:val="20"/>
              </w:rPr>
            </w:pPr>
          </w:p>
        </w:tc>
        <w:tc>
          <w:tcPr>
            <w:tcW w:w="2139" w:type="dxa"/>
          </w:tcPr>
          <w:p w:rsidR="004C319D" w:rsidRPr="000515EC" w:rsidRDefault="004C319D" w:rsidP="00A77CCB">
            <w:pPr>
              <w:rPr>
                <w:sz w:val="20"/>
                <w:szCs w:val="20"/>
              </w:rPr>
            </w:pPr>
          </w:p>
        </w:tc>
        <w:tc>
          <w:tcPr>
            <w:tcW w:w="1864" w:type="dxa"/>
          </w:tcPr>
          <w:p w:rsidR="004C319D" w:rsidRPr="000515EC" w:rsidRDefault="004C319D" w:rsidP="00A77CCB">
            <w:pPr>
              <w:rPr>
                <w:sz w:val="20"/>
                <w:szCs w:val="20"/>
              </w:rPr>
            </w:pPr>
          </w:p>
        </w:tc>
      </w:tr>
      <w:tr w:rsidR="004C319D" w:rsidRPr="000515EC" w:rsidTr="003570F3">
        <w:trPr>
          <w:trHeight w:val="54"/>
        </w:trPr>
        <w:tc>
          <w:tcPr>
            <w:tcW w:w="2268" w:type="dxa"/>
          </w:tcPr>
          <w:p w:rsidR="004C319D" w:rsidRPr="00387184" w:rsidRDefault="00387184" w:rsidP="00387184">
            <w:pPr>
              <w:rPr>
                <w:b/>
                <w:sz w:val="20"/>
                <w:szCs w:val="20"/>
                <w:u w:val="single"/>
              </w:rPr>
            </w:pPr>
            <w:r w:rsidRPr="00387184">
              <w:rPr>
                <w:b/>
                <w:sz w:val="20"/>
                <w:szCs w:val="20"/>
                <w:u w:val="single"/>
              </w:rPr>
              <w:t>Use Case # 13</w:t>
            </w:r>
          </w:p>
          <w:p w:rsidR="003106C4" w:rsidRDefault="003106C4" w:rsidP="00387184">
            <w:pPr>
              <w:rPr>
                <w:sz w:val="20"/>
                <w:szCs w:val="20"/>
                <w:lang w:bidi="en-US"/>
              </w:rPr>
            </w:pPr>
          </w:p>
          <w:p w:rsidR="00387184" w:rsidRDefault="003106C4" w:rsidP="00387184">
            <w:pPr>
              <w:rPr>
                <w:sz w:val="20"/>
                <w:szCs w:val="20"/>
              </w:rPr>
            </w:pPr>
            <w:r w:rsidRPr="003106C4">
              <w:rPr>
                <w:sz w:val="20"/>
                <w:szCs w:val="20"/>
                <w:lang w:bidi="en-US"/>
              </w:rPr>
              <w:t>Facebook, Google, and others are working on facial recognition research to expand application capabilities, including for the consumer sector.  This brief case study will identify the major research initiatives, discuss current projects, and address preliminary consumer and privacy implications.</w:t>
            </w:r>
          </w:p>
          <w:p w:rsidR="00387184" w:rsidRPr="00387184" w:rsidRDefault="00387184" w:rsidP="00387184">
            <w:pPr>
              <w:rPr>
                <w:sz w:val="20"/>
                <w:szCs w:val="20"/>
              </w:rPr>
            </w:pPr>
          </w:p>
        </w:tc>
        <w:tc>
          <w:tcPr>
            <w:tcW w:w="1913" w:type="dxa"/>
          </w:tcPr>
          <w:p w:rsidR="004C319D" w:rsidRDefault="004C319D" w:rsidP="00A77CCB">
            <w:pPr>
              <w:rPr>
                <w:sz w:val="20"/>
                <w:szCs w:val="20"/>
              </w:rPr>
            </w:pPr>
          </w:p>
          <w:p w:rsidR="004C319D" w:rsidRDefault="004C319D" w:rsidP="00A77CCB">
            <w:pPr>
              <w:rPr>
                <w:sz w:val="20"/>
                <w:szCs w:val="20"/>
              </w:rPr>
            </w:pPr>
          </w:p>
          <w:p w:rsidR="004C319D" w:rsidRPr="000515EC" w:rsidRDefault="004C319D" w:rsidP="00A77CCB">
            <w:pPr>
              <w:rPr>
                <w:sz w:val="20"/>
                <w:szCs w:val="20"/>
              </w:rPr>
            </w:pPr>
          </w:p>
        </w:tc>
        <w:tc>
          <w:tcPr>
            <w:tcW w:w="2180" w:type="dxa"/>
          </w:tcPr>
          <w:p w:rsidR="004C319D" w:rsidRPr="000515EC" w:rsidRDefault="004C319D" w:rsidP="00A77CCB">
            <w:pPr>
              <w:rPr>
                <w:sz w:val="20"/>
                <w:szCs w:val="20"/>
              </w:rPr>
            </w:pPr>
          </w:p>
        </w:tc>
        <w:tc>
          <w:tcPr>
            <w:tcW w:w="1896" w:type="dxa"/>
          </w:tcPr>
          <w:p w:rsidR="004C319D" w:rsidRPr="000515EC" w:rsidRDefault="004C319D" w:rsidP="00A77CCB">
            <w:pPr>
              <w:rPr>
                <w:sz w:val="20"/>
                <w:szCs w:val="20"/>
              </w:rPr>
            </w:pPr>
          </w:p>
        </w:tc>
        <w:tc>
          <w:tcPr>
            <w:tcW w:w="1900" w:type="dxa"/>
          </w:tcPr>
          <w:p w:rsidR="004C319D" w:rsidRPr="000515EC" w:rsidRDefault="004C319D" w:rsidP="00A77CCB">
            <w:pPr>
              <w:rPr>
                <w:sz w:val="20"/>
                <w:szCs w:val="20"/>
              </w:rPr>
            </w:pPr>
          </w:p>
        </w:tc>
        <w:tc>
          <w:tcPr>
            <w:tcW w:w="1910" w:type="dxa"/>
          </w:tcPr>
          <w:p w:rsidR="004C319D" w:rsidRPr="000515EC" w:rsidRDefault="004C319D" w:rsidP="00A77CCB">
            <w:pPr>
              <w:rPr>
                <w:sz w:val="20"/>
                <w:szCs w:val="20"/>
              </w:rPr>
            </w:pPr>
          </w:p>
        </w:tc>
        <w:tc>
          <w:tcPr>
            <w:tcW w:w="1926" w:type="dxa"/>
          </w:tcPr>
          <w:p w:rsidR="004C319D" w:rsidRPr="000515EC" w:rsidRDefault="004C319D" w:rsidP="00A77CCB">
            <w:pPr>
              <w:rPr>
                <w:sz w:val="20"/>
                <w:szCs w:val="20"/>
              </w:rPr>
            </w:pPr>
          </w:p>
        </w:tc>
        <w:tc>
          <w:tcPr>
            <w:tcW w:w="2139" w:type="dxa"/>
          </w:tcPr>
          <w:p w:rsidR="004C319D" w:rsidRPr="000515EC" w:rsidRDefault="004C319D" w:rsidP="00A77CCB">
            <w:pPr>
              <w:rPr>
                <w:sz w:val="20"/>
                <w:szCs w:val="20"/>
              </w:rPr>
            </w:pPr>
          </w:p>
        </w:tc>
        <w:tc>
          <w:tcPr>
            <w:tcW w:w="1864" w:type="dxa"/>
          </w:tcPr>
          <w:p w:rsidR="004C319D" w:rsidRPr="000515EC" w:rsidRDefault="004C319D" w:rsidP="00A77CCB">
            <w:pPr>
              <w:rPr>
                <w:sz w:val="20"/>
                <w:szCs w:val="20"/>
              </w:rPr>
            </w:pPr>
          </w:p>
        </w:tc>
      </w:tr>
      <w:tr w:rsidR="004C319D" w:rsidRPr="000515EC" w:rsidTr="003570F3">
        <w:tc>
          <w:tcPr>
            <w:tcW w:w="2268" w:type="dxa"/>
          </w:tcPr>
          <w:p w:rsidR="000124CB" w:rsidRPr="00E50311" w:rsidRDefault="000124CB" w:rsidP="000124CB">
            <w:pPr>
              <w:rPr>
                <w:b/>
                <w:sz w:val="20"/>
                <w:szCs w:val="20"/>
                <w:u w:val="single"/>
                <w:lang w:bidi="en-US"/>
              </w:rPr>
            </w:pPr>
            <w:r w:rsidRPr="00E50311">
              <w:rPr>
                <w:b/>
                <w:sz w:val="20"/>
                <w:szCs w:val="20"/>
                <w:u w:val="single"/>
                <w:lang w:bidi="en-US"/>
              </w:rPr>
              <w:t>Use Case #22</w:t>
            </w:r>
          </w:p>
          <w:p w:rsidR="000124CB" w:rsidRDefault="000124CB" w:rsidP="000124CB">
            <w:pPr>
              <w:rPr>
                <w:sz w:val="20"/>
                <w:szCs w:val="20"/>
                <w:lang w:bidi="en-US"/>
              </w:rPr>
            </w:pPr>
          </w:p>
          <w:p w:rsidR="004C319D" w:rsidRPr="000124CB" w:rsidRDefault="000124CB" w:rsidP="000124CB">
            <w:pPr>
              <w:rPr>
                <w:sz w:val="20"/>
                <w:szCs w:val="20"/>
              </w:rPr>
            </w:pPr>
            <w:r w:rsidRPr="000124CB">
              <w:rPr>
                <w:sz w:val="20"/>
                <w:szCs w:val="20"/>
                <w:lang w:bidi="en-US"/>
              </w:rPr>
              <w:t xml:space="preserve">A National Bank’s ATM uses multi-factor authentication to prevent fraudulent </w:t>
            </w:r>
            <w:r w:rsidRPr="000124CB">
              <w:rPr>
                <w:sz w:val="20"/>
                <w:szCs w:val="20"/>
                <w:lang w:bidi="en-US"/>
              </w:rPr>
              <w:lastRenderedPageBreak/>
              <w:t>withdrawals, including facial recognition matched to stored images on the bank’s computers. National Bank performs the authentication when their customers use National Bank ATMs and when their customers use non-National Bank ATMs.</w:t>
            </w:r>
          </w:p>
        </w:tc>
        <w:tc>
          <w:tcPr>
            <w:tcW w:w="1913" w:type="dxa"/>
          </w:tcPr>
          <w:p w:rsidR="004C319D" w:rsidRDefault="004C319D" w:rsidP="00A77CCB">
            <w:pPr>
              <w:rPr>
                <w:sz w:val="20"/>
                <w:szCs w:val="20"/>
              </w:rPr>
            </w:pPr>
          </w:p>
          <w:p w:rsidR="004C319D" w:rsidRDefault="004C319D" w:rsidP="00A77CCB">
            <w:pPr>
              <w:rPr>
                <w:sz w:val="20"/>
                <w:szCs w:val="20"/>
              </w:rPr>
            </w:pPr>
          </w:p>
          <w:p w:rsidR="004C319D" w:rsidRPr="000515EC" w:rsidRDefault="004C319D" w:rsidP="00A77CCB">
            <w:pPr>
              <w:rPr>
                <w:sz w:val="20"/>
                <w:szCs w:val="20"/>
              </w:rPr>
            </w:pPr>
          </w:p>
        </w:tc>
        <w:tc>
          <w:tcPr>
            <w:tcW w:w="2180" w:type="dxa"/>
          </w:tcPr>
          <w:p w:rsidR="004C319D" w:rsidRPr="000515EC" w:rsidRDefault="004C319D" w:rsidP="00A77CCB">
            <w:pPr>
              <w:rPr>
                <w:sz w:val="20"/>
                <w:szCs w:val="20"/>
              </w:rPr>
            </w:pPr>
          </w:p>
        </w:tc>
        <w:tc>
          <w:tcPr>
            <w:tcW w:w="1896" w:type="dxa"/>
          </w:tcPr>
          <w:p w:rsidR="004C319D" w:rsidRPr="000515EC" w:rsidRDefault="004C319D" w:rsidP="00A77CCB">
            <w:pPr>
              <w:rPr>
                <w:sz w:val="20"/>
                <w:szCs w:val="20"/>
              </w:rPr>
            </w:pPr>
          </w:p>
        </w:tc>
        <w:tc>
          <w:tcPr>
            <w:tcW w:w="1900" w:type="dxa"/>
          </w:tcPr>
          <w:p w:rsidR="004C319D" w:rsidRPr="000515EC" w:rsidRDefault="004C319D" w:rsidP="00A77CCB">
            <w:pPr>
              <w:rPr>
                <w:sz w:val="20"/>
                <w:szCs w:val="20"/>
              </w:rPr>
            </w:pPr>
          </w:p>
        </w:tc>
        <w:tc>
          <w:tcPr>
            <w:tcW w:w="1910" w:type="dxa"/>
          </w:tcPr>
          <w:p w:rsidR="004C319D" w:rsidRPr="000515EC" w:rsidRDefault="004C319D" w:rsidP="00A77CCB">
            <w:pPr>
              <w:rPr>
                <w:sz w:val="20"/>
                <w:szCs w:val="20"/>
              </w:rPr>
            </w:pPr>
          </w:p>
        </w:tc>
        <w:tc>
          <w:tcPr>
            <w:tcW w:w="1926" w:type="dxa"/>
          </w:tcPr>
          <w:p w:rsidR="004C319D" w:rsidRPr="000515EC" w:rsidRDefault="004C319D" w:rsidP="00A77CCB">
            <w:pPr>
              <w:rPr>
                <w:sz w:val="20"/>
                <w:szCs w:val="20"/>
              </w:rPr>
            </w:pPr>
          </w:p>
        </w:tc>
        <w:tc>
          <w:tcPr>
            <w:tcW w:w="2139" w:type="dxa"/>
          </w:tcPr>
          <w:p w:rsidR="004C319D" w:rsidRPr="000515EC" w:rsidRDefault="004C319D" w:rsidP="00A77CCB">
            <w:pPr>
              <w:rPr>
                <w:sz w:val="20"/>
                <w:szCs w:val="20"/>
              </w:rPr>
            </w:pPr>
          </w:p>
        </w:tc>
        <w:tc>
          <w:tcPr>
            <w:tcW w:w="1864" w:type="dxa"/>
          </w:tcPr>
          <w:p w:rsidR="004C319D" w:rsidRPr="000515EC" w:rsidRDefault="004C319D" w:rsidP="00A77CCB">
            <w:pPr>
              <w:rPr>
                <w:sz w:val="20"/>
                <w:szCs w:val="20"/>
              </w:rPr>
            </w:pPr>
          </w:p>
        </w:tc>
      </w:tr>
      <w:tr w:rsidR="004C319D" w:rsidRPr="000515EC" w:rsidTr="003570F3">
        <w:tc>
          <w:tcPr>
            <w:tcW w:w="2268" w:type="dxa"/>
          </w:tcPr>
          <w:p w:rsidR="004C319D" w:rsidRPr="008F474F" w:rsidRDefault="004C319D" w:rsidP="008F474F">
            <w:pPr>
              <w:rPr>
                <w:sz w:val="20"/>
                <w:szCs w:val="20"/>
              </w:rPr>
            </w:pPr>
          </w:p>
        </w:tc>
        <w:tc>
          <w:tcPr>
            <w:tcW w:w="1913" w:type="dxa"/>
          </w:tcPr>
          <w:p w:rsidR="004C319D" w:rsidRDefault="004C319D" w:rsidP="00A77CCB">
            <w:pPr>
              <w:rPr>
                <w:sz w:val="20"/>
                <w:szCs w:val="20"/>
              </w:rPr>
            </w:pPr>
          </w:p>
          <w:p w:rsidR="004C319D" w:rsidRDefault="004C319D" w:rsidP="00A77CCB">
            <w:pPr>
              <w:rPr>
                <w:sz w:val="20"/>
                <w:szCs w:val="20"/>
              </w:rPr>
            </w:pPr>
          </w:p>
          <w:p w:rsidR="004C319D" w:rsidRPr="000515EC" w:rsidRDefault="004C319D" w:rsidP="00A77CCB">
            <w:pPr>
              <w:rPr>
                <w:sz w:val="20"/>
                <w:szCs w:val="20"/>
              </w:rPr>
            </w:pPr>
          </w:p>
        </w:tc>
        <w:tc>
          <w:tcPr>
            <w:tcW w:w="2180" w:type="dxa"/>
          </w:tcPr>
          <w:p w:rsidR="004C319D" w:rsidRPr="000515EC" w:rsidRDefault="004C319D" w:rsidP="00A77CCB">
            <w:pPr>
              <w:rPr>
                <w:sz w:val="20"/>
                <w:szCs w:val="20"/>
              </w:rPr>
            </w:pPr>
          </w:p>
        </w:tc>
        <w:tc>
          <w:tcPr>
            <w:tcW w:w="1896" w:type="dxa"/>
          </w:tcPr>
          <w:p w:rsidR="004C319D" w:rsidRPr="000515EC" w:rsidRDefault="004C319D" w:rsidP="00A77CCB">
            <w:pPr>
              <w:rPr>
                <w:sz w:val="20"/>
                <w:szCs w:val="20"/>
              </w:rPr>
            </w:pPr>
          </w:p>
        </w:tc>
        <w:tc>
          <w:tcPr>
            <w:tcW w:w="1900" w:type="dxa"/>
          </w:tcPr>
          <w:p w:rsidR="004C319D" w:rsidRPr="000515EC" w:rsidRDefault="004C319D" w:rsidP="00A77CCB">
            <w:pPr>
              <w:rPr>
                <w:sz w:val="20"/>
                <w:szCs w:val="20"/>
              </w:rPr>
            </w:pPr>
          </w:p>
        </w:tc>
        <w:tc>
          <w:tcPr>
            <w:tcW w:w="1910" w:type="dxa"/>
          </w:tcPr>
          <w:p w:rsidR="004C319D" w:rsidRPr="000515EC" w:rsidRDefault="004C319D" w:rsidP="00A77CCB">
            <w:pPr>
              <w:rPr>
                <w:sz w:val="20"/>
                <w:szCs w:val="20"/>
              </w:rPr>
            </w:pPr>
          </w:p>
        </w:tc>
        <w:tc>
          <w:tcPr>
            <w:tcW w:w="1926" w:type="dxa"/>
          </w:tcPr>
          <w:p w:rsidR="004C319D" w:rsidRPr="000515EC" w:rsidRDefault="004C319D" w:rsidP="00A77CCB">
            <w:pPr>
              <w:rPr>
                <w:sz w:val="20"/>
                <w:szCs w:val="20"/>
              </w:rPr>
            </w:pPr>
          </w:p>
        </w:tc>
        <w:tc>
          <w:tcPr>
            <w:tcW w:w="2139" w:type="dxa"/>
          </w:tcPr>
          <w:p w:rsidR="004C319D" w:rsidRPr="000515EC" w:rsidRDefault="004C319D" w:rsidP="00A77CCB">
            <w:pPr>
              <w:rPr>
                <w:sz w:val="20"/>
                <w:szCs w:val="20"/>
              </w:rPr>
            </w:pPr>
          </w:p>
        </w:tc>
        <w:tc>
          <w:tcPr>
            <w:tcW w:w="1864" w:type="dxa"/>
          </w:tcPr>
          <w:p w:rsidR="004C319D" w:rsidRPr="000515EC" w:rsidRDefault="004C319D" w:rsidP="00A77CCB">
            <w:pPr>
              <w:rPr>
                <w:sz w:val="20"/>
                <w:szCs w:val="20"/>
              </w:rPr>
            </w:pPr>
          </w:p>
        </w:tc>
      </w:tr>
      <w:tr w:rsidR="004C319D" w:rsidRPr="000515EC" w:rsidTr="003570F3">
        <w:tc>
          <w:tcPr>
            <w:tcW w:w="2268" w:type="dxa"/>
          </w:tcPr>
          <w:p w:rsidR="004C319D" w:rsidRPr="008F474F" w:rsidRDefault="004C319D" w:rsidP="008F474F">
            <w:pPr>
              <w:rPr>
                <w:sz w:val="20"/>
                <w:szCs w:val="20"/>
              </w:rPr>
            </w:pPr>
          </w:p>
        </w:tc>
        <w:tc>
          <w:tcPr>
            <w:tcW w:w="1913" w:type="dxa"/>
          </w:tcPr>
          <w:p w:rsidR="004C319D" w:rsidRDefault="004C319D" w:rsidP="00A77CCB">
            <w:pPr>
              <w:rPr>
                <w:sz w:val="20"/>
                <w:szCs w:val="20"/>
              </w:rPr>
            </w:pPr>
          </w:p>
          <w:p w:rsidR="004C319D" w:rsidRDefault="004C319D" w:rsidP="00A77CCB">
            <w:pPr>
              <w:rPr>
                <w:sz w:val="20"/>
                <w:szCs w:val="20"/>
              </w:rPr>
            </w:pPr>
          </w:p>
          <w:p w:rsidR="004C319D" w:rsidRPr="000515EC" w:rsidRDefault="004C319D" w:rsidP="00A77CCB">
            <w:pPr>
              <w:rPr>
                <w:sz w:val="20"/>
                <w:szCs w:val="20"/>
              </w:rPr>
            </w:pPr>
          </w:p>
        </w:tc>
        <w:tc>
          <w:tcPr>
            <w:tcW w:w="2180" w:type="dxa"/>
          </w:tcPr>
          <w:p w:rsidR="004C319D" w:rsidRPr="000515EC" w:rsidRDefault="004C319D" w:rsidP="00A77CCB">
            <w:pPr>
              <w:rPr>
                <w:sz w:val="20"/>
                <w:szCs w:val="20"/>
              </w:rPr>
            </w:pPr>
          </w:p>
        </w:tc>
        <w:tc>
          <w:tcPr>
            <w:tcW w:w="1896" w:type="dxa"/>
          </w:tcPr>
          <w:p w:rsidR="004C319D" w:rsidRPr="000515EC" w:rsidRDefault="004C319D" w:rsidP="00A77CCB">
            <w:pPr>
              <w:rPr>
                <w:sz w:val="20"/>
                <w:szCs w:val="20"/>
              </w:rPr>
            </w:pPr>
          </w:p>
        </w:tc>
        <w:tc>
          <w:tcPr>
            <w:tcW w:w="1900" w:type="dxa"/>
          </w:tcPr>
          <w:p w:rsidR="004C319D" w:rsidRPr="000515EC" w:rsidRDefault="004C319D" w:rsidP="00A77CCB">
            <w:pPr>
              <w:rPr>
                <w:sz w:val="20"/>
                <w:szCs w:val="20"/>
              </w:rPr>
            </w:pPr>
          </w:p>
        </w:tc>
        <w:tc>
          <w:tcPr>
            <w:tcW w:w="1910" w:type="dxa"/>
          </w:tcPr>
          <w:p w:rsidR="004C319D" w:rsidRPr="000515EC" w:rsidRDefault="004C319D" w:rsidP="00A77CCB">
            <w:pPr>
              <w:rPr>
                <w:sz w:val="20"/>
                <w:szCs w:val="20"/>
              </w:rPr>
            </w:pPr>
          </w:p>
        </w:tc>
        <w:tc>
          <w:tcPr>
            <w:tcW w:w="1926" w:type="dxa"/>
          </w:tcPr>
          <w:p w:rsidR="004C319D" w:rsidRPr="000515EC" w:rsidRDefault="004C319D" w:rsidP="00A77CCB">
            <w:pPr>
              <w:rPr>
                <w:sz w:val="20"/>
                <w:szCs w:val="20"/>
              </w:rPr>
            </w:pPr>
          </w:p>
        </w:tc>
        <w:tc>
          <w:tcPr>
            <w:tcW w:w="2139" w:type="dxa"/>
          </w:tcPr>
          <w:p w:rsidR="004C319D" w:rsidRPr="000515EC" w:rsidRDefault="004C319D" w:rsidP="00A77CCB">
            <w:pPr>
              <w:rPr>
                <w:sz w:val="20"/>
                <w:szCs w:val="20"/>
              </w:rPr>
            </w:pPr>
          </w:p>
        </w:tc>
        <w:tc>
          <w:tcPr>
            <w:tcW w:w="1864" w:type="dxa"/>
          </w:tcPr>
          <w:p w:rsidR="004C319D" w:rsidRPr="000515EC" w:rsidRDefault="004C319D" w:rsidP="00A77CCB">
            <w:pPr>
              <w:rPr>
                <w:sz w:val="20"/>
                <w:szCs w:val="20"/>
              </w:rPr>
            </w:pPr>
          </w:p>
        </w:tc>
      </w:tr>
      <w:tr w:rsidR="004C319D" w:rsidRPr="000515EC" w:rsidTr="003570F3">
        <w:tc>
          <w:tcPr>
            <w:tcW w:w="2268" w:type="dxa"/>
          </w:tcPr>
          <w:p w:rsidR="004C319D" w:rsidRPr="008F474F" w:rsidRDefault="004C319D" w:rsidP="008F474F">
            <w:pPr>
              <w:rPr>
                <w:sz w:val="20"/>
                <w:szCs w:val="20"/>
              </w:rPr>
            </w:pPr>
          </w:p>
        </w:tc>
        <w:tc>
          <w:tcPr>
            <w:tcW w:w="1913" w:type="dxa"/>
          </w:tcPr>
          <w:p w:rsidR="004C319D" w:rsidRDefault="004C319D" w:rsidP="00A77CCB">
            <w:pPr>
              <w:rPr>
                <w:sz w:val="20"/>
                <w:szCs w:val="20"/>
              </w:rPr>
            </w:pPr>
          </w:p>
          <w:p w:rsidR="004C319D" w:rsidRDefault="004C319D" w:rsidP="00A77CCB">
            <w:pPr>
              <w:rPr>
                <w:sz w:val="20"/>
                <w:szCs w:val="20"/>
              </w:rPr>
            </w:pPr>
          </w:p>
          <w:p w:rsidR="004C319D" w:rsidRPr="000515EC" w:rsidRDefault="004C319D" w:rsidP="00A77CCB">
            <w:pPr>
              <w:rPr>
                <w:sz w:val="20"/>
                <w:szCs w:val="20"/>
              </w:rPr>
            </w:pPr>
          </w:p>
        </w:tc>
        <w:tc>
          <w:tcPr>
            <w:tcW w:w="2180" w:type="dxa"/>
          </w:tcPr>
          <w:p w:rsidR="004C319D" w:rsidRPr="000515EC" w:rsidRDefault="004C319D" w:rsidP="00A77CCB">
            <w:pPr>
              <w:rPr>
                <w:sz w:val="20"/>
                <w:szCs w:val="20"/>
              </w:rPr>
            </w:pPr>
          </w:p>
        </w:tc>
        <w:tc>
          <w:tcPr>
            <w:tcW w:w="1896" w:type="dxa"/>
          </w:tcPr>
          <w:p w:rsidR="004C319D" w:rsidRPr="000515EC" w:rsidRDefault="004C319D" w:rsidP="00A77CCB">
            <w:pPr>
              <w:rPr>
                <w:sz w:val="20"/>
                <w:szCs w:val="20"/>
              </w:rPr>
            </w:pPr>
          </w:p>
        </w:tc>
        <w:tc>
          <w:tcPr>
            <w:tcW w:w="1900" w:type="dxa"/>
          </w:tcPr>
          <w:p w:rsidR="004C319D" w:rsidRPr="000515EC" w:rsidRDefault="004C319D" w:rsidP="00A77CCB">
            <w:pPr>
              <w:rPr>
                <w:sz w:val="20"/>
                <w:szCs w:val="20"/>
              </w:rPr>
            </w:pPr>
          </w:p>
        </w:tc>
        <w:tc>
          <w:tcPr>
            <w:tcW w:w="1910" w:type="dxa"/>
          </w:tcPr>
          <w:p w:rsidR="004C319D" w:rsidRPr="000515EC" w:rsidRDefault="004C319D" w:rsidP="00A77CCB">
            <w:pPr>
              <w:rPr>
                <w:sz w:val="20"/>
                <w:szCs w:val="20"/>
              </w:rPr>
            </w:pPr>
          </w:p>
        </w:tc>
        <w:tc>
          <w:tcPr>
            <w:tcW w:w="1926" w:type="dxa"/>
          </w:tcPr>
          <w:p w:rsidR="004C319D" w:rsidRPr="000515EC" w:rsidRDefault="004C319D" w:rsidP="00A77CCB">
            <w:pPr>
              <w:rPr>
                <w:sz w:val="20"/>
                <w:szCs w:val="20"/>
              </w:rPr>
            </w:pPr>
          </w:p>
        </w:tc>
        <w:tc>
          <w:tcPr>
            <w:tcW w:w="2139" w:type="dxa"/>
          </w:tcPr>
          <w:p w:rsidR="004C319D" w:rsidRPr="000515EC" w:rsidRDefault="004C319D" w:rsidP="00A77CCB">
            <w:pPr>
              <w:rPr>
                <w:sz w:val="20"/>
                <w:szCs w:val="20"/>
              </w:rPr>
            </w:pPr>
          </w:p>
        </w:tc>
        <w:tc>
          <w:tcPr>
            <w:tcW w:w="1864" w:type="dxa"/>
          </w:tcPr>
          <w:p w:rsidR="004C319D" w:rsidRPr="000515EC" w:rsidRDefault="004C319D" w:rsidP="00A77CCB">
            <w:pPr>
              <w:rPr>
                <w:sz w:val="20"/>
                <w:szCs w:val="20"/>
              </w:rPr>
            </w:pPr>
          </w:p>
        </w:tc>
      </w:tr>
    </w:tbl>
    <w:p w:rsidR="002F682C" w:rsidRPr="008A7B33" w:rsidRDefault="002F682C" w:rsidP="002F682C"/>
    <w:p w:rsidR="00D66CA6" w:rsidRPr="00D66CA6" w:rsidRDefault="00D66CA6" w:rsidP="00D66CA6"/>
    <w:sectPr w:rsidR="00D66CA6" w:rsidRPr="00D66CA6" w:rsidSect="000515EC">
      <w:headerReference w:type="even" r:id="rId9"/>
      <w:headerReference w:type="default" r:id="rId10"/>
      <w:footerReference w:type="even" r:id="rId11"/>
      <w:footerReference w:type="default" r:id="rId12"/>
      <w:headerReference w:type="first" r:id="rId13"/>
      <w:footerReference w:type="first" r:id="rId14"/>
      <w:endnotePr>
        <w:numFmt w:val="decimal"/>
      </w:endnotePr>
      <w:pgSz w:w="20160" w:h="12240" w:orient="landscape" w:code="5"/>
      <w:pgMar w:top="1152" w:right="1008" w:bottom="1152"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525" w:rsidRDefault="00326525" w:rsidP="002C526D">
      <w:r>
        <w:separator/>
      </w:r>
    </w:p>
  </w:endnote>
  <w:endnote w:type="continuationSeparator" w:id="0">
    <w:p w:rsidR="00326525" w:rsidRDefault="00326525" w:rsidP="002C526D">
      <w:r>
        <w:continuationSeparator/>
      </w:r>
    </w:p>
  </w:endnote>
  <w:endnote w:id="1">
    <w:p w:rsidR="004C319D" w:rsidRDefault="004C319D" w:rsidP="00C77039">
      <w:pPr>
        <w:pStyle w:val="CommentText"/>
      </w:pPr>
      <w:r>
        <w:rPr>
          <w:rStyle w:val="EndnoteReference"/>
        </w:rPr>
        <w:endnoteRef/>
      </w:r>
      <w:r>
        <w:t xml:space="preserve"> </w:t>
      </w:r>
      <w:r>
        <w:tab/>
        <w:t>Elaboration in the White House Consumer Privacy Bill of Rights: “Companies should provide consumers appropriate control over the personal data that consumers share with others and over how companies collect, use, or disclose personal data.  Companies should enable these choices by providing consumers with easily used and accessible mechanisms that reflect the scale, scope, and sensitivity of the personal data that they collect, use, or disclose, as well as the sensitivity of the uses they make of personal data.  Companies should offer consumers clear and simple choices, presented at times and in ways that enable consumers to make meaningful decisions about personal data collection, use, and disclosure.  Companies should offer consumers means to withdraw or limit consent that are as accessible and easily used as the methods for granting consent in the first place.”</w:t>
      </w:r>
    </w:p>
    <w:p w:rsidR="004C319D" w:rsidRDefault="004C319D">
      <w:pPr>
        <w:pStyle w:val="EndnoteText"/>
      </w:pPr>
    </w:p>
  </w:endnote>
  <w:endnote w:id="2">
    <w:p w:rsidR="004C319D" w:rsidRDefault="004C319D">
      <w:pPr>
        <w:pStyle w:val="EndnoteText"/>
      </w:pPr>
      <w:r>
        <w:rPr>
          <w:rStyle w:val="EndnoteReference"/>
        </w:rPr>
        <w:endnoteRef/>
      </w:r>
      <w:r>
        <w:t xml:space="preserve"> </w:t>
      </w:r>
      <w:r>
        <w:tab/>
        <w:t>Elaboration in the White House Consumer Privacy Bill of Rights: “At times and in places that are most useful to enabling consumers to gain a meaningful understanding of privacy risks and the ability to exercise Individual Control, companies should provide clear descriptions of what personal data they collect, why they need the data, how they will use it, when they will delete the data or de-identify it from consumers, and whether and for what purposes they may share personal data with third parties.”</w:t>
      </w:r>
    </w:p>
    <w:p w:rsidR="004C319D" w:rsidRDefault="004C319D">
      <w:pPr>
        <w:pStyle w:val="EndnoteText"/>
      </w:pPr>
    </w:p>
  </w:endnote>
  <w:endnote w:id="3">
    <w:p w:rsidR="004C319D" w:rsidRDefault="004C319D" w:rsidP="009151BF">
      <w:pPr>
        <w:pStyle w:val="EndnoteText"/>
      </w:pPr>
      <w:r>
        <w:rPr>
          <w:rStyle w:val="EndnoteReference"/>
        </w:rPr>
        <w:endnoteRef/>
      </w:r>
      <w:r>
        <w:t xml:space="preserve"> </w:t>
      </w:r>
      <w:r>
        <w:tab/>
        <w:t>Elaboration in the White House Consumer Privacy Bill of Rights: “Companies should limit their use and disclosure of personal data to those purposes that are consistent with both the relationship that they have with consumers and the context in which consumers originally disclosed the data, unless required by law to do otherwise.  If companies will use or disclose personal data for other purposes, they should provide heightened Transparency and Individual Control by disclosing these other purposes in a manner that is prominent and easily actionable by consumers at the time of data collection.  If, subsequent to collection, companies decide to use or disclose personal data for purposes that are inconsistent with the context in which the data was disclosed, they must provide heightened measures of Transparency and Individual Choice.  Finally, the age and familiarity with technology of consumers who engage with a company are important elements of context.  Companies should fulfill the obligations under this principle in ways that are appropriate for the age and sophistication of consumers.  In particular, the principles in the Consumer Privacy Bill of Rights may require greater protections for personal data obtained from children and teenagers than for adults.”</w:t>
      </w:r>
    </w:p>
    <w:p w:rsidR="004C319D" w:rsidRDefault="004C319D" w:rsidP="009151BF">
      <w:pPr>
        <w:pStyle w:val="EndnoteText"/>
      </w:pPr>
    </w:p>
  </w:endnote>
  <w:endnote w:id="4">
    <w:p w:rsidR="004C319D" w:rsidRDefault="004C319D">
      <w:pPr>
        <w:pStyle w:val="EndnoteText"/>
      </w:pPr>
      <w:r>
        <w:rPr>
          <w:rStyle w:val="EndnoteReference"/>
        </w:rPr>
        <w:endnoteRef/>
      </w:r>
      <w:r>
        <w:t xml:space="preserve"> </w:t>
      </w:r>
      <w:r>
        <w:tab/>
        <w:t>Elaboration in the White House Consumer Privacy Bill of Rights: “Companies should assess the privacy and security risks associated with their personal data practices and maintain reasonable safeguards to control risks such as loss; unauthorized access, use, destruction, or modification; and improper disclosure.”</w:t>
      </w:r>
    </w:p>
    <w:p w:rsidR="004C319D" w:rsidRDefault="004C319D">
      <w:pPr>
        <w:pStyle w:val="EndnoteText"/>
      </w:pPr>
    </w:p>
  </w:endnote>
  <w:endnote w:id="5">
    <w:p w:rsidR="004C319D" w:rsidRDefault="004C319D">
      <w:pPr>
        <w:pStyle w:val="EndnoteText"/>
      </w:pPr>
      <w:r>
        <w:rPr>
          <w:rStyle w:val="EndnoteReference"/>
        </w:rPr>
        <w:endnoteRef/>
      </w:r>
      <w:r>
        <w:t xml:space="preserve"> </w:t>
      </w:r>
      <w:r>
        <w:tab/>
        <w:t>Elaboration in the White House Consumer Privacy Bill of Rights: “Companies should use reasonable measures to ensure they maintain accurate personal data.  Companies also should provide consumers with reasonable access to personal data that they collect or maintain about them, as well as the appropriate means and opportunity to correct inaccurate data or request its deletion or use limitation.  Companies that handle personal data should construe this principle in a manner consistent with freedom of expression and freedom of the press.  In determining what measures they may use to maintain accuracy and to provide access, correction, deletion, or suppression capabilities to consumers, companies may also consider the scale, scope, and sensitivity of the personal data that they collect or maintain and the likelihood that its use may expose consumers to financial, physical, or other material harm.”</w:t>
      </w:r>
    </w:p>
    <w:p w:rsidR="004C319D" w:rsidRDefault="004C319D">
      <w:pPr>
        <w:pStyle w:val="EndnoteText"/>
      </w:pPr>
    </w:p>
  </w:endnote>
  <w:endnote w:id="6">
    <w:p w:rsidR="004C319D" w:rsidRDefault="004C319D">
      <w:pPr>
        <w:pStyle w:val="EndnoteText"/>
      </w:pPr>
      <w:r>
        <w:rPr>
          <w:rStyle w:val="EndnoteReference"/>
        </w:rPr>
        <w:endnoteRef/>
      </w:r>
      <w:r>
        <w:tab/>
        <w:t>Elaboration in the White House Consumer Privacy Bill of Rights: “Companies should collect only as much personal data as they need to accomplish purposes specified under the Respect for Context principle.  Companies should securely dispose of or de-identify personal data once they no longer need it, unless they are under a legal obligation to do otherwise.”</w:t>
      </w:r>
    </w:p>
    <w:p w:rsidR="004C319D" w:rsidRDefault="004C319D">
      <w:pPr>
        <w:pStyle w:val="EndnoteText"/>
      </w:pPr>
    </w:p>
  </w:endnote>
  <w:endnote w:id="7">
    <w:p w:rsidR="004C319D" w:rsidRDefault="004C319D">
      <w:pPr>
        <w:pStyle w:val="EndnoteText"/>
      </w:pPr>
      <w:r>
        <w:rPr>
          <w:rStyle w:val="EndnoteReference"/>
        </w:rPr>
        <w:endnoteRef/>
      </w:r>
      <w:r>
        <w:t xml:space="preserve"> </w:t>
      </w:r>
      <w:r>
        <w:tab/>
        <w:t>Elaboration in the White House Consumer Privacy Bill of Rights: “Companies should be accountable to enforcement authorities and consumers for adhering to these principles.  Companies also should hold employees responsible for adhering to these principles.  To achieve this end, companies should train their employees as appropriate to handle personal data consistently with these principles and regularly evaluate their performance in this regard.  Where appropriate, companies should conduct full audits.  Companies that disclose personal data to third parties should at a minimum ensure that the recipients are under enforceable contractual obligations to adhere to these principles, unless they are required by law to do otherwise.”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453" w:rsidRDefault="001C64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6D" w:rsidRDefault="002C52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F1A" w:rsidRDefault="00A74F1A">
    <w:pPr>
      <w:pStyle w:val="Footer"/>
    </w:pPr>
  </w:p>
  <w:p w:rsidR="002C526D" w:rsidRDefault="00A74F1A" w:rsidP="00A74F1A">
    <w:pPr>
      <w:pStyle w:val="Footer"/>
    </w:pPr>
    <w:r>
      <w:rPr>
        <w:sz w:val="16"/>
      </w:rPr>
      <w:fldChar w:fldCharType="begin"/>
    </w:r>
    <w:r>
      <w:rPr>
        <w:sz w:val="16"/>
      </w:rPr>
      <w:instrText xml:space="preserve"> </w:instrText>
    </w:r>
    <w:r w:rsidRPr="00A74F1A">
      <w:rPr>
        <w:sz w:val="16"/>
      </w:rPr>
      <w:instrText>IF "</w:instrText>
    </w:r>
    <w:r w:rsidRPr="00A74F1A">
      <w:rPr>
        <w:sz w:val="16"/>
      </w:rPr>
      <w:fldChar w:fldCharType="begin"/>
    </w:r>
    <w:r w:rsidRPr="00A74F1A">
      <w:rPr>
        <w:sz w:val="16"/>
      </w:rPr>
      <w:instrText xml:space="preserve"> DOCVARIABLE "SWDocIDLocation" </w:instrText>
    </w:r>
    <w:r w:rsidRPr="00A74F1A">
      <w:rPr>
        <w:sz w:val="16"/>
      </w:rPr>
      <w:fldChar w:fldCharType="separate"/>
    </w:r>
    <w:r w:rsidR="001C6453">
      <w:rPr>
        <w:sz w:val="16"/>
      </w:rPr>
      <w:instrText>1</w:instrText>
    </w:r>
    <w:r w:rsidRPr="00A74F1A">
      <w:rPr>
        <w:sz w:val="16"/>
      </w:rPr>
      <w:fldChar w:fldCharType="end"/>
    </w:r>
    <w:r w:rsidRPr="00A74F1A">
      <w:rPr>
        <w:sz w:val="16"/>
      </w:rPr>
      <w:instrText>" = "1" "</w:instrText>
    </w:r>
    <w:r w:rsidR="001C6453">
      <w:rPr>
        <w:sz w:val="16"/>
      </w:rPr>
      <w:instrText>13722390.6</w:instrText>
    </w:r>
    <w:r w:rsidRPr="00A74F1A">
      <w:rPr>
        <w:sz w:val="16"/>
      </w:rPr>
      <w:instrText>" ""</w:instrText>
    </w:r>
    <w:r>
      <w:rPr>
        <w:sz w:val="16"/>
      </w:rPr>
      <w:instrText xml:space="preserve"> </w:instrText>
    </w:r>
    <w:r>
      <w:rPr>
        <w:sz w:val="16"/>
      </w:rPr>
      <w:fldChar w:fldCharType="separate"/>
    </w:r>
    <w:r w:rsidR="001C6453">
      <w:rPr>
        <w:noProof/>
        <w:sz w:val="16"/>
      </w:rPr>
      <w:t>13722390.6</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525" w:rsidRDefault="00326525" w:rsidP="002C526D">
      <w:r>
        <w:separator/>
      </w:r>
    </w:p>
  </w:footnote>
  <w:footnote w:type="continuationSeparator" w:id="0">
    <w:p w:rsidR="00326525" w:rsidRDefault="00326525" w:rsidP="002C5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453" w:rsidRDefault="001C64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453" w:rsidRDefault="001C64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453" w:rsidRDefault="001C64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384366"/>
    <w:lvl w:ilvl="0">
      <w:start w:val="1"/>
      <w:numFmt w:val="decimal"/>
      <w:lvlText w:val="%1."/>
      <w:lvlJc w:val="left"/>
      <w:pPr>
        <w:tabs>
          <w:tab w:val="num" w:pos="1800"/>
        </w:tabs>
        <w:ind w:left="1800" w:hanging="360"/>
      </w:pPr>
    </w:lvl>
  </w:abstractNum>
  <w:abstractNum w:abstractNumId="1">
    <w:nsid w:val="FFFFFF7D"/>
    <w:multiLevelType w:val="singleLevel"/>
    <w:tmpl w:val="7AA46F7E"/>
    <w:lvl w:ilvl="0">
      <w:start w:val="1"/>
      <w:numFmt w:val="decimal"/>
      <w:lvlText w:val="%1."/>
      <w:lvlJc w:val="left"/>
      <w:pPr>
        <w:tabs>
          <w:tab w:val="num" w:pos="1440"/>
        </w:tabs>
        <w:ind w:left="1440" w:hanging="360"/>
      </w:pPr>
    </w:lvl>
  </w:abstractNum>
  <w:abstractNum w:abstractNumId="2">
    <w:nsid w:val="FFFFFF7E"/>
    <w:multiLevelType w:val="singleLevel"/>
    <w:tmpl w:val="316EB1CC"/>
    <w:lvl w:ilvl="0">
      <w:start w:val="1"/>
      <w:numFmt w:val="decimal"/>
      <w:lvlText w:val="%1."/>
      <w:lvlJc w:val="left"/>
      <w:pPr>
        <w:tabs>
          <w:tab w:val="num" w:pos="1080"/>
        </w:tabs>
        <w:ind w:left="1080" w:hanging="360"/>
      </w:pPr>
    </w:lvl>
  </w:abstractNum>
  <w:abstractNum w:abstractNumId="3">
    <w:nsid w:val="FFFFFF7F"/>
    <w:multiLevelType w:val="singleLevel"/>
    <w:tmpl w:val="C0843E30"/>
    <w:lvl w:ilvl="0">
      <w:start w:val="1"/>
      <w:numFmt w:val="decimal"/>
      <w:lvlText w:val="%1."/>
      <w:lvlJc w:val="left"/>
      <w:pPr>
        <w:tabs>
          <w:tab w:val="num" w:pos="720"/>
        </w:tabs>
        <w:ind w:left="720" w:hanging="360"/>
      </w:pPr>
    </w:lvl>
  </w:abstractNum>
  <w:abstractNum w:abstractNumId="4">
    <w:nsid w:val="FFFFFF80"/>
    <w:multiLevelType w:val="singleLevel"/>
    <w:tmpl w:val="06869F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1A4E6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3C8F00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38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6F827D6"/>
    <w:lvl w:ilvl="0">
      <w:start w:val="1"/>
      <w:numFmt w:val="decimal"/>
      <w:lvlText w:val="%1."/>
      <w:lvlJc w:val="left"/>
      <w:pPr>
        <w:tabs>
          <w:tab w:val="num" w:pos="360"/>
        </w:tabs>
        <w:ind w:left="360" w:hanging="360"/>
      </w:pPr>
    </w:lvl>
  </w:abstractNum>
  <w:abstractNum w:abstractNumId="9">
    <w:nsid w:val="FFFFFF89"/>
    <w:multiLevelType w:val="singleLevel"/>
    <w:tmpl w:val="24EA6CCC"/>
    <w:lvl w:ilvl="0">
      <w:start w:val="1"/>
      <w:numFmt w:val="bullet"/>
      <w:lvlText w:val=""/>
      <w:lvlJc w:val="left"/>
      <w:pPr>
        <w:tabs>
          <w:tab w:val="num" w:pos="360"/>
        </w:tabs>
        <w:ind w:left="360" w:hanging="360"/>
      </w:pPr>
      <w:rPr>
        <w:rFonts w:ascii="Symbol" w:hAnsi="Symbol" w:hint="default"/>
      </w:rPr>
    </w:lvl>
  </w:abstractNum>
  <w:abstractNum w:abstractNumId="10">
    <w:nsid w:val="04724391"/>
    <w:multiLevelType w:val="hybridMultilevel"/>
    <w:tmpl w:val="9FAAA562"/>
    <w:lvl w:ilvl="0" w:tplc="C2A848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B52491"/>
    <w:multiLevelType w:val="hybridMultilevel"/>
    <w:tmpl w:val="E9F02C78"/>
    <w:lvl w:ilvl="0" w:tplc="C2A848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2"/>
    <w:docVar w:name="SWDocIDLocation" w:val="1"/>
  </w:docVars>
  <w:rsids>
    <w:rsidRoot w:val="00B974C9"/>
    <w:rsid w:val="00011243"/>
    <w:rsid w:val="000123FC"/>
    <w:rsid w:val="000124CB"/>
    <w:rsid w:val="00015143"/>
    <w:rsid w:val="0003461C"/>
    <w:rsid w:val="000349C0"/>
    <w:rsid w:val="000515EC"/>
    <w:rsid w:val="00056B47"/>
    <w:rsid w:val="000660B2"/>
    <w:rsid w:val="00094688"/>
    <w:rsid w:val="00095805"/>
    <w:rsid w:val="000A2DB9"/>
    <w:rsid w:val="000A3635"/>
    <w:rsid w:val="000A4CD5"/>
    <w:rsid w:val="000B20D1"/>
    <w:rsid w:val="000B7FF5"/>
    <w:rsid w:val="000F0F61"/>
    <w:rsid w:val="000F31C4"/>
    <w:rsid w:val="00116978"/>
    <w:rsid w:val="00146EDD"/>
    <w:rsid w:val="00170343"/>
    <w:rsid w:val="0017514D"/>
    <w:rsid w:val="001A1B0B"/>
    <w:rsid w:val="001A2BB1"/>
    <w:rsid w:val="001A3CB7"/>
    <w:rsid w:val="001B1465"/>
    <w:rsid w:val="001B37F8"/>
    <w:rsid w:val="001C6453"/>
    <w:rsid w:val="001F5483"/>
    <w:rsid w:val="002067C0"/>
    <w:rsid w:val="002108F2"/>
    <w:rsid w:val="00227F28"/>
    <w:rsid w:val="002308BF"/>
    <w:rsid w:val="00232163"/>
    <w:rsid w:val="002329B5"/>
    <w:rsid w:val="00243389"/>
    <w:rsid w:val="002524AF"/>
    <w:rsid w:val="002712F6"/>
    <w:rsid w:val="0027174B"/>
    <w:rsid w:val="00281B8A"/>
    <w:rsid w:val="002A6CE2"/>
    <w:rsid w:val="002B754C"/>
    <w:rsid w:val="002C04AF"/>
    <w:rsid w:val="002C35CF"/>
    <w:rsid w:val="002C526D"/>
    <w:rsid w:val="002C6139"/>
    <w:rsid w:val="002D3887"/>
    <w:rsid w:val="002E4A05"/>
    <w:rsid w:val="002F682C"/>
    <w:rsid w:val="00306906"/>
    <w:rsid w:val="003106C4"/>
    <w:rsid w:val="00311F4A"/>
    <w:rsid w:val="003153DA"/>
    <w:rsid w:val="00315A18"/>
    <w:rsid w:val="0031775B"/>
    <w:rsid w:val="00326525"/>
    <w:rsid w:val="003518B7"/>
    <w:rsid w:val="003570F3"/>
    <w:rsid w:val="003734BA"/>
    <w:rsid w:val="0038211C"/>
    <w:rsid w:val="00387184"/>
    <w:rsid w:val="003A2E72"/>
    <w:rsid w:val="003A5938"/>
    <w:rsid w:val="003B0EDD"/>
    <w:rsid w:val="003F5D5E"/>
    <w:rsid w:val="0040088A"/>
    <w:rsid w:val="00414D70"/>
    <w:rsid w:val="0042377A"/>
    <w:rsid w:val="004243C0"/>
    <w:rsid w:val="0042647C"/>
    <w:rsid w:val="00426CE8"/>
    <w:rsid w:val="00441546"/>
    <w:rsid w:val="004A4580"/>
    <w:rsid w:val="004A469E"/>
    <w:rsid w:val="004B7570"/>
    <w:rsid w:val="004C319D"/>
    <w:rsid w:val="004C394B"/>
    <w:rsid w:val="004C4633"/>
    <w:rsid w:val="004C6CF6"/>
    <w:rsid w:val="004E4450"/>
    <w:rsid w:val="004E4EF5"/>
    <w:rsid w:val="004F73F1"/>
    <w:rsid w:val="0050338E"/>
    <w:rsid w:val="00515609"/>
    <w:rsid w:val="005215A6"/>
    <w:rsid w:val="00544045"/>
    <w:rsid w:val="0057234B"/>
    <w:rsid w:val="00585442"/>
    <w:rsid w:val="00594D9B"/>
    <w:rsid w:val="00597AE3"/>
    <w:rsid w:val="005A428C"/>
    <w:rsid w:val="005B32B6"/>
    <w:rsid w:val="005B7800"/>
    <w:rsid w:val="005C4312"/>
    <w:rsid w:val="005D24CA"/>
    <w:rsid w:val="005E4A55"/>
    <w:rsid w:val="0061336D"/>
    <w:rsid w:val="0065097B"/>
    <w:rsid w:val="00657ADE"/>
    <w:rsid w:val="0067043C"/>
    <w:rsid w:val="00685A37"/>
    <w:rsid w:val="00693389"/>
    <w:rsid w:val="006C0C98"/>
    <w:rsid w:val="006C5272"/>
    <w:rsid w:val="006D06DD"/>
    <w:rsid w:val="006D6081"/>
    <w:rsid w:val="006F27EA"/>
    <w:rsid w:val="006F5402"/>
    <w:rsid w:val="00707BC8"/>
    <w:rsid w:val="00732208"/>
    <w:rsid w:val="007324BE"/>
    <w:rsid w:val="0073274D"/>
    <w:rsid w:val="00741396"/>
    <w:rsid w:val="00747284"/>
    <w:rsid w:val="007549A0"/>
    <w:rsid w:val="00796923"/>
    <w:rsid w:val="007A4A69"/>
    <w:rsid w:val="007A4F21"/>
    <w:rsid w:val="007B37D6"/>
    <w:rsid w:val="007B67FD"/>
    <w:rsid w:val="007D6A22"/>
    <w:rsid w:val="007E5CFF"/>
    <w:rsid w:val="007E66B3"/>
    <w:rsid w:val="007F2D2B"/>
    <w:rsid w:val="00816F68"/>
    <w:rsid w:val="00821EC3"/>
    <w:rsid w:val="00856169"/>
    <w:rsid w:val="008572F7"/>
    <w:rsid w:val="0087164A"/>
    <w:rsid w:val="00873DF7"/>
    <w:rsid w:val="00886858"/>
    <w:rsid w:val="00886A28"/>
    <w:rsid w:val="0089494A"/>
    <w:rsid w:val="008974AB"/>
    <w:rsid w:val="008A02BF"/>
    <w:rsid w:val="008A7B33"/>
    <w:rsid w:val="008E5B37"/>
    <w:rsid w:val="008E602F"/>
    <w:rsid w:val="008F34AF"/>
    <w:rsid w:val="008F474F"/>
    <w:rsid w:val="008F502B"/>
    <w:rsid w:val="00906193"/>
    <w:rsid w:val="009062C0"/>
    <w:rsid w:val="0090646F"/>
    <w:rsid w:val="009151BF"/>
    <w:rsid w:val="00926DD0"/>
    <w:rsid w:val="00980485"/>
    <w:rsid w:val="00986653"/>
    <w:rsid w:val="009A61BC"/>
    <w:rsid w:val="009D4AF7"/>
    <w:rsid w:val="009D6B7B"/>
    <w:rsid w:val="009E007D"/>
    <w:rsid w:val="009F2B9F"/>
    <w:rsid w:val="00A055A8"/>
    <w:rsid w:val="00A15C0F"/>
    <w:rsid w:val="00A321CA"/>
    <w:rsid w:val="00A460CD"/>
    <w:rsid w:val="00A53EFF"/>
    <w:rsid w:val="00A63ED5"/>
    <w:rsid w:val="00A74F1A"/>
    <w:rsid w:val="00AA1C7D"/>
    <w:rsid w:val="00AA24E0"/>
    <w:rsid w:val="00AA31DD"/>
    <w:rsid w:val="00AA4D82"/>
    <w:rsid w:val="00AC695D"/>
    <w:rsid w:val="00AD267D"/>
    <w:rsid w:val="00AE13F5"/>
    <w:rsid w:val="00AE180E"/>
    <w:rsid w:val="00AE47BD"/>
    <w:rsid w:val="00AE61BB"/>
    <w:rsid w:val="00B377F6"/>
    <w:rsid w:val="00B42365"/>
    <w:rsid w:val="00B43B41"/>
    <w:rsid w:val="00B5352D"/>
    <w:rsid w:val="00B542E4"/>
    <w:rsid w:val="00B66C5B"/>
    <w:rsid w:val="00B974C9"/>
    <w:rsid w:val="00BB6E59"/>
    <w:rsid w:val="00BD63E7"/>
    <w:rsid w:val="00BE0A4A"/>
    <w:rsid w:val="00BE1620"/>
    <w:rsid w:val="00BE220F"/>
    <w:rsid w:val="00BE68B9"/>
    <w:rsid w:val="00BF4FE1"/>
    <w:rsid w:val="00C04572"/>
    <w:rsid w:val="00C0621F"/>
    <w:rsid w:val="00C20D88"/>
    <w:rsid w:val="00C25F6A"/>
    <w:rsid w:val="00C55B50"/>
    <w:rsid w:val="00C64FF0"/>
    <w:rsid w:val="00C77039"/>
    <w:rsid w:val="00CB5A16"/>
    <w:rsid w:val="00CB6F8F"/>
    <w:rsid w:val="00CD2B83"/>
    <w:rsid w:val="00D21363"/>
    <w:rsid w:val="00D30B01"/>
    <w:rsid w:val="00D518AF"/>
    <w:rsid w:val="00D64C38"/>
    <w:rsid w:val="00D66CA6"/>
    <w:rsid w:val="00D84904"/>
    <w:rsid w:val="00DB36CE"/>
    <w:rsid w:val="00DB640E"/>
    <w:rsid w:val="00DC07DA"/>
    <w:rsid w:val="00DC41D5"/>
    <w:rsid w:val="00E105A9"/>
    <w:rsid w:val="00E20B65"/>
    <w:rsid w:val="00E25E05"/>
    <w:rsid w:val="00E50311"/>
    <w:rsid w:val="00E53343"/>
    <w:rsid w:val="00E65505"/>
    <w:rsid w:val="00E95969"/>
    <w:rsid w:val="00EB1612"/>
    <w:rsid w:val="00EB31FE"/>
    <w:rsid w:val="00EB348E"/>
    <w:rsid w:val="00ED0D41"/>
    <w:rsid w:val="00F018A9"/>
    <w:rsid w:val="00F45743"/>
    <w:rsid w:val="00F850CF"/>
    <w:rsid w:val="00F867A5"/>
    <w:rsid w:val="00F87A3C"/>
    <w:rsid w:val="00F96105"/>
    <w:rsid w:val="00FA2E5F"/>
    <w:rsid w:val="00FA7B1F"/>
    <w:rsid w:val="00FB7A2B"/>
    <w:rsid w:val="00FD11AE"/>
    <w:rsid w:val="00FD6ADB"/>
    <w:rsid w:val="00FF4E6B"/>
    <w:rsid w:val="00FF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19" w:unhideWhenUsed="0" w:qFormat="1"/>
    <w:lsdException w:name="heading 1" w:semiHidden="0" w:uiPriority="10" w:unhideWhenUsed="0"/>
    <w:lsdException w:name="heading 2" w:uiPriority="11" w:qFormat="1"/>
    <w:lsdException w:name="heading 3" w:uiPriority="12" w:qFormat="1"/>
    <w:lsdException w:name="heading 4" w:uiPriority="13" w:qFormat="1"/>
    <w:lsdException w:name="heading 5" w:uiPriority="14" w:qFormat="1"/>
    <w:lsdException w:name="heading 6" w:uiPriority="15" w:qFormat="1"/>
    <w:lsdException w:name="heading 7" w:uiPriority="16" w:qFormat="1"/>
    <w:lsdException w:name="heading 8" w:uiPriority="17"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lsdException w:name="caption" w:uiPriority="35" w:qFormat="1"/>
    <w:lsdException w:name="footnote reference" w:uiPriority="8"/>
    <w:lsdException w:name="Title" w:semiHidden="0" w:uiPriority="1" w:unhideWhenUsed="0" w:qFormat="1"/>
    <w:lsdException w:name="Default Paragraph Font" w:uiPriority="1"/>
    <w:lsdException w:name="Body Text" w:uiPriority="0" w:qFormat="1"/>
    <w:lsdException w:name="Subtitle" w:semiHidden="0" w:uiPriority="2" w:unhideWhenUsed="0" w:qFormat="1"/>
    <w:lsdException w:name="Body Text 2" w:uiPriority="0" w:qFormat="1"/>
    <w:lsdException w:name="Body Text 3" w:uiPriority="0" w:qFormat="1"/>
    <w:lsdException w:name="Block Text" w:semiHidden="0" w:uiPriority="4"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6"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9"/>
    <w:qFormat/>
    <w:rsid w:val="007F2D2B"/>
  </w:style>
  <w:style w:type="paragraph" w:styleId="Heading1">
    <w:name w:val="heading 1"/>
    <w:basedOn w:val="Normal"/>
    <w:next w:val="Normal"/>
    <w:link w:val="Heading1Char"/>
    <w:uiPriority w:val="10"/>
    <w:unhideWhenUsed/>
    <w:rsid w:val="00AA1C7D"/>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11"/>
    <w:semiHidden/>
    <w:unhideWhenUsed/>
    <w:qFormat/>
    <w:rsid w:val="00AA1C7D"/>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12"/>
    <w:semiHidden/>
    <w:unhideWhenUsed/>
    <w:qFormat/>
    <w:rsid w:val="00A53EFF"/>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13"/>
    <w:semiHidden/>
    <w:unhideWhenUsed/>
    <w:qFormat/>
    <w:rsid w:val="00A53EFF"/>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14"/>
    <w:semiHidden/>
    <w:unhideWhenUsed/>
    <w:qFormat/>
    <w:rsid w:val="00A53EFF"/>
    <w:pPr>
      <w:keepNext/>
      <w:keepLines/>
      <w:spacing w:before="200"/>
      <w:outlineLvl w:val="4"/>
    </w:pPr>
    <w:rPr>
      <w:rFonts w:eastAsiaTheme="majorEastAsia" w:cstheme="majorBidi"/>
    </w:rPr>
  </w:style>
  <w:style w:type="paragraph" w:styleId="Heading6">
    <w:name w:val="heading 6"/>
    <w:basedOn w:val="Normal"/>
    <w:next w:val="Normal"/>
    <w:link w:val="Heading6Char"/>
    <w:uiPriority w:val="15"/>
    <w:semiHidden/>
    <w:unhideWhenUsed/>
    <w:qFormat/>
    <w:rsid w:val="00A53EFF"/>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16"/>
    <w:semiHidden/>
    <w:unhideWhenUsed/>
    <w:qFormat/>
    <w:rsid w:val="00A53EFF"/>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17"/>
    <w:semiHidden/>
    <w:unhideWhenUsed/>
    <w:qFormat/>
    <w:rsid w:val="00A53EFF"/>
    <w:pPr>
      <w:keepNext/>
      <w:keepLines/>
      <w:spacing w:before="200"/>
      <w:outlineLvl w:val="7"/>
    </w:pPr>
    <w:rPr>
      <w:rFonts w:eastAsiaTheme="majorEastAsia" w:cstheme="majorBidi"/>
      <w:szCs w:val="20"/>
    </w:rPr>
  </w:style>
  <w:style w:type="paragraph" w:styleId="Heading9">
    <w:name w:val="heading 9"/>
    <w:basedOn w:val="Normal"/>
    <w:next w:val="Normal"/>
    <w:link w:val="Heading9Char"/>
    <w:uiPriority w:val="18"/>
    <w:semiHidden/>
    <w:unhideWhenUsed/>
    <w:qFormat/>
    <w:rsid w:val="00A53EFF"/>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rsid w:val="00AA1C7D"/>
    <w:rPr>
      <w:rFonts w:eastAsiaTheme="majorEastAsia" w:cstheme="majorBidi"/>
      <w:b/>
      <w:bCs/>
      <w:szCs w:val="28"/>
    </w:rPr>
  </w:style>
  <w:style w:type="paragraph" w:styleId="BodyText">
    <w:name w:val="Body Text"/>
    <w:basedOn w:val="Normal"/>
    <w:link w:val="BodyTextChar"/>
    <w:qFormat/>
    <w:rsid w:val="00315A18"/>
    <w:pPr>
      <w:spacing w:after="240"/>
    </w:pPr>
  </w:style>
  <w:style w:type="character" w:customStyle="1" w:styleId="BodyTextChar">
    <w:name w:val="Body Text Char"/>
    <w:basedOn w:val="DefaultParagraphFont"/>
    <w:link w:val="BodyText"/>
    <w:rsid w:val="00315A18"/>
  </w:style>
  <w:style w:type="paragraph" w:styleId="BodyText2">
    <w:name w:val="Body Text 2"/>
    <w:basedOn w:val="Normal"/>
    <w:link w:val="BodyText2Char"/>
    <w:qFormat/>
    <w:rsid w:val="00315A18"/>
    <w:pPr>
      <w:spacing w:after="240"/>
      <w:ind w:firstLine="720"/>
    </w:pPr>
  </w:style>
  <w:style w:type="character" w:customStyle="1" w:styleId="BodyText2Char">
    <w:name w:val="Body Text 2 Char"/>
    <w:basedOn w:val="DefaultParagraphFont"/>
    <w:link w:val="BodyText2"/>
    <w:rsid w:val="00315A18"/>
  </w:style>
  <w:style w:type="paragraph" w:styleId="BodyText3">
    <w:name w:val="Body Text 3"/>
    <w:basedOn w:val="Normal"/>
    <w:link w:val="BodyText3Char"/>
    <w:qFormat/>
    <w:rsid w:val="00AA1C7D"/>
    <w:pPr>
      <w:spacing w:after="240"/>
      <w:ind w:firstLine="1440"/>
    </w:pPr>
    <w:rPr>
      <w:szCs w:val="16"/>
    </w:rPr>
  </w:style>
  <w:style w:type="character" w:customStyle="1" w:styleId="BodyText3Char">
    <w:name w:val="Body Text 3 Char"/>
    <w:basedOn w:val="DefaultParagraphFont"/>
    <w:link w:val="BodyText3"/>
    <w:rsid w:val="00AA1C7D"/>
    <w:rPr>
      <w:szCs w:val="16"/>
    </w:rPr>
  </w:style>
  <w:style w:type="paragraph" w:styleId="Title">
    <w:name w:val="Title"/>
    <w:basedOn w:val="Normal"/>
    <w:next w:val="Normal"/>
    <w:link w:val="TitleChar"/>
    <w:uiPriority w:val="1"/>
    <w:qFormat/>
    <w:rsid w:val="00AA1C7D"/>
    <w:pPr>
      <w:spacing w:after="240"/>
      <w:contextualSpacing/>
      <w:jc w:val="center"/>
    </w:pPr>
    <w:rPr>
      <w:rFonts w:eastAsiaTheme="majorEastAsia" w:cstheme="majorBidi"/>
      <w:b/>
      <w:kern w:val="28"/>
      <w:szCs w:val="52"/>
    </w:rPr>
  </w:style>
  <w:style w:type="character" w:customStyle="1" w:styleId="TitleChar">
    <w:name w:val="Title Char"/>
    <w:basedOn w:val="DefaultParagraphFont"/>
    <w:link w:val="Title"/>
    <w:uiPriority w:val="1"/>
    <w:rsid w:val="00AA1C7D"/>
    <w:rPr>
      <w:rFonts w:eastAsiaTheme="majorEastAsia" w:cstheme="majorBidi"/>
      <w:b/>
      <w:kern w:val="28"/>
      <w:szCs w:val="52"/>
    </w:rPr>
  </w:style>
  <w:style w:type="paragraph" w:styleId="Subtitle">
    <w:name w:val="Subtitle"/>
    <w:basedOn w:val="Normal"/>
    <w:next w:val="Normal"/>
    <w:link w:val="SubtitleChar"/>
    <w:uiPriority w:val="2"/>
    <w:qFormat/>
    <w:rsid w:val="00AA1C7D"/>
    <w:pPr>
      <w:numPr>
        <w:ilvl w:val="1"/>
      </w:numPr>
      <w:spacing w:after="240"/>
    </w:pPr>
    <w:rPr>
      <w:rFonts w:eastAsiaTheme="majorEastAsia" w:cstheme="majorBidi"/>
      <w:b/>
      <w:iCs/>
    </w:rPr>
  </w:style>
  <w:style w:type="character" w:customStyle="1" w:styleId="SubtitleChar">
    <w:name w:val="Subtitle Char"/>
    <w:basedOn w:val="DefaultParagraphFont"/>
    <w:link w:val="Subtitle"/>
    <w:uiPriority w:val="2"/>
    <w:rsid w:val="00AA1C7D"/>
    <w:rPr>
      <w:rFonts w:eastAsiaTheme="majorEastAsia" w:cstheme="majorBidi"/>
      <w:b/>
      <w:iCs/>
    </w:rPr>
  </w:style>
  <w:style w:type="paragraph" w:styleId="BlockText">
    <w:name w:val="Block Text"/>
    <w:basedOn w:val="Normal"/>
    <w:uiPriority w:val="4"/>
    <w:qFormat/>
    <w:rsid w:val="00AA1C7D"/>
    <w:pPr>
      <w:spacing w:after="240"/>
      <w:ind w:left="720" w:right="720"/>
    </w:pPr>
    <w:rPr>
      <w:rFonts w:eastAsiaTheme="minorEastAsia"/>
      <w:iCs/>
    </w:rPr>
  </w:style>
  <w:style w:type="paragraph" w:styleId="BalloonText">
    <w:name w:val="Balloon Text"/>
    <w:basedOn w:val="Normal"/>
    <w:link w:val="BalloonTextChar"/>
    <w:uiPriority w:val="99"/>
    <w:semiHidden/>
    <w:unhideWhenUsed/>
    <w:rsid w:val="00A53EFF"/>
    <w:rPr>
      <w:rFonts w:ascii="Tahoma" w:hAnsi="Tahoma" w:cs="Tahoma"/>
      <w:sz w:val="16"/>
      <w:szCs w:val="16"/>
    </w:rPr>
  </w:style>
  <w:style w:type="character" w:customStyle="1" w:styleId="BalloonTextChar">
    <w:name w:val="Balloon Text Char"/>
    <w:basedOn w:val="DefaultParagraphFont"/>
    <w:link w:val="BalloonText"/>
    <w:uiPriority w:val="99"/>
    <w:semiHidden/>
    <w:rsid w:val="00A53EFF"/>
    <w:rPr>
      <w:rFonts w:ascii="Tahoma" w:hAnsi="Tahoma" w:cs="Tahoma"/>
      <w:sz w:val="16"/>
      <w:szCs w:val="16"/>
    </w:rPr>
  </w:style>
  <w:style w:type="table" w:styleId="TableGrid">
    <w:name w:val="Table Grid"/>
    <w:basedOn w:val="TableNormal"/>
    <w:uiPriority w:val="59"/>
    <w:rsid w:val="00AA1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6"/>
    <w:qFormat/>
    <w:rsid w:val="00AA1C7D"/>
    <w:pPr>
      <w:spacing w:after="240"/>
    </w:pPr>
    <w:rPr>
      <w:i/>
      <w:iCs/>
      <w:color w:val="000000" w:themeColor="text1"/>
    </w:rPr>
  </w:style>
  <w:style w:type="character" w:customStyle="1" w:styleId="QuoteChar">
    <w:name w:val="Quote Char"/>
    <w:basedOn w:val="DefaultParagraphFont"/>
    <w:link w:val="Quote"/>
    <w:uiPriority w:val="6"/>
    <w:rsid w:val="00AA1C7D"/>
    <w:rPr>
      <w:i/>
      <w:iCs/>
      <w:color w:val="000000" w:themeColor="text1"/>
    </w:rPr>
  </w:style>
  <w:style w:type="paragraph" w:styleId="NoSpacing">
    <w:name w:val="No Spacing"/>
    <w:uiPriority w:val="20"/>
    <w:qFormat/>
    <w:rsid w:val="00AA1C7D"/>
  </w:style>
  <w:style w:type="paragraph" w:customStyle="1" w:styleId="SignatureBy">
    <w:name w:val="Signature By:"/>
    <w:basedOn w:val="Normal"/>
    <w:uiPriority w:val="3"/>
    <w:qFormat/>
    <w:rsid w:val="00AA1C7D"/>
    <w:pPr>
      <w:tabs>
        <w:tab w:val="left" w:pos="5580"/>
        <w:tab w:val="right" w:leader="underscore" w:pos="9360"/>
      </w:tabs>
      <w:spacing w:after="240"/>
      <w:ind w:left="5587" w:hanging="547"/>
    </w:pPr>
  </w:style>
  <w:style w:type="character" w:customStyle="1" w:styleId="Heading2Char">
    <w:name w:val="Heading 2 Char"/>
    <w:basedOn w:val="DefaultParagraphFont"/>
    <w:link w:val="Heading2"/>
    <w:uiPriority w:val="11"/>
    <w:semiHidden/>
    <w:rsid w:val="00AA1C7D"/>
    <w:rPr>
      <w:rFonts w:eastAsiaTheme="majorEastAsia" w:cstheme="majorBidi"/>
      <w:b/>
      <w:bCs/>
      <w:szCs w:val="26"/>
    </w:rPr>
  </w:style>
  <w:style w:type="character" w:customStyle="1" w:styleId="Heading3Char">
    <w:name w:val="Heading 3 Char"/>
    <w:basedOn w:val="DefaultParagraphFont"/>
    <w:link w:val="Heading3"/>
    <w:uiPriority w:val="12"/>
    <w:semiHidden/>
    <w:rsid w:val="00A53EFF"/>
    <w:rPr>
      <w:rFonts w:eastAsiaTheme="majorEastAsia" w:cstheme="majorBidi"/>
      <w:b/>
      <w:bCs/>
    </w:rPr>
  </w:style>
  <w:style w:type="character" w:customStyle="1" w:styleId="Heading4Char">
    <w:name w:val="Heading 4 Char"/>
    <w:basedOn w:val="DefaultParagraphFont"/>
    <w:link w:val="Heading4"/>
    <w:uiPriority w:val="13"/>
    <w:semiHidden/>
    <w:rsid w:val="00A53EFF"/>
    <w:rPr>
      <w:rFonts w:eastAsiaTheme="majorEastAsia" w:cstheme="majorBidi"/>
      <w:b/>
      <w:bCs/>
      <w:i/>
      <w:iCs/>
    </w:rPr>
  </w:style>
  <w:style w:type="character" w:customStyle="1" w:styleId="Heading5Char">
    <w:name w:val="Heading 5 Char"/>
    <w:basedOn w:val="DefaultParagraphFont"/>
    <w:link w:val="Heading5"/>
    <w:uiPriority w:val="14"/>
    <w:semiHidden/>
    <w:rsid w:val="00A53EFF"/>
    <w:rPr>
      <w:rFonts w:eastAsiaTheme="majorEastAsia" w:cstheme="majorBidi"/>
    </w:rPr>
  </w:style>
  <w:style w:type="character" w:customStyle="1" w:styleId="Heading6Char">
    <w:name w:val="Heading 6 Char"/>
    <w:basedOn w:val="DefaultParagraphFont"/>
    <w:link w:val="Heading6"/>
    <w:uiPriority w:val="15"/>
    <w:semiHidden/>
    <w:rsid w:val="00A53EFF"/>
    <w:rPr>
      <w:rFonts w:eastAsiaTheme="majorEastAsia" w:cstheme="majorBidi"/>
      <w:i/>
      <w:iCs/>
    </w:rPr>
  </w:style>
  <w:style w:type="character" w:customStyle="1" w:styleId="Heading7Char">
    <w:name w:val="Heading 7 Char"/>
    <w:basedOn w:val="DefaultParagraphFont"/>
    <w:link w:val="Heading7"/>
    <w:uiPriority w:val="16"/>
    <w:semiHidden/>
    <w:rsid w:val="00A53EFF"/>
    <w:rPr>
      <w:rFonts w:eastAsiaTheme="majorEastAsia" w:cstheme="majorBidi"/>
      <w:i/>
      <w:iCs/>
    </w:rPr>
  </w:style>
  <w:style w:type="character" w:customStyle="1" w:styleId="Heading8Char">
    <w:name w:val="Heading 8 Char"/>
    <w:basedOn w:val="DefaultParagraphFont"/>
    <w:link w:val="Heading8"/>
    <w:uiPriority w:val="17"/>
    <w:semiHidden/>
    <w:rsid w:val="00A53EFF"/>
    <w:rPr>
      <w:rFonts w:eastAsiaTheme="majorEastAsia" w:cstheme="majorBidi"/>
      <w:szCs w:val="20"/>
    </w:rPr>
  </w:style>
  <w:style w:type="character" w:customStyle="1" w:styleId="Heading9Char">
    <w:name w:val="Heading 9 Char"/>
    <w:basedOn w:val="DefaultParagraphFont"/>
    <w:link w:val="Heading9"/>
    <w:uiPriority w:val="18"/>
    <w:semiHidden/>
    <w:rsid w:val="00A53EFF"/>
    <w:rPr>
      <w:rFonts w:eastAsiaTheme="majorEastAsia" w:cstheme="majorBidi"/>
      <w:i/>
      <w:iCs/>
      <w:szCs w:val="20"/>
    </w:rPr>
  </w:style>
  <w:style w:type="paragraph" w:customStyle="1" w:styleId="Title2">
    <w:name w:val="Title 2"/>
    <w:basedOn w:val="Normal"/>
    <w:rsid w:val="00AA1C7D"/>
    <w:pPr>
      <w:spacing w:after="240"/>
      <w:jc w:val="center"/>
    </w:pPr>
    <w:rPr>
      <w:b/>
      <w:u w:val="single"/>
    </w:rPr>
  </w:style>
  <w:style w:type="paragraph" w:customStyle="1" w:styleId="Title3">
    <w:name w:val="Title 3"/>
    <w:basedOn w:val="Normal"/>
    <w:rsid w:val="00AA1C7D"/>
    <w:pPr>
      <w:spacing w:after="240"/>
      <w:jc w:val="center"/>
    </w:pPr>
    <w:rPr>
      <w:b/>
      <w:i/>
    </w:rPr>
  </w:style>
  <w:style w:type="paragraph" w:customStyle="1" w:styleId="Subtitle2">
    <w:name w:val="Subtitle 2"/>
    <w:basedOn w:val="Normal"/>
    <w:rsid w:val="00AA1C7D"/>
    <w:pPr>
      <w:spacing w:after="240"/>
    </w:pPr>
    <w:rPr>
      <w:b/>
      <w:u w:val="single"/>
    </w:rPr>
  </w:style>
  <w:style w:type="paragraph" w:customStyle="1" w:styleId="Subtitle3">
    <w:name w:val="Subtitle 3"/>
    <w:basedOn w:val="Normal"/>
    <w:rsid w:val="00AA1C7D"/>
    <w:pPr>
      <w:spacing w:after="240"/>
    </w:pPr>
    <w:rPr>
      <w:b/>
      <w:i/>
    </w:rPr>
  </w:style>
  <w:style w:type="paragraph" w:styleId="FootnoteText">
    <w:name w:val="footnote text"/>
    <w:basedOn w:val="Normal"/>
    <w:link w:val="FootnoteTextChar"/>
    <w:uiPriority w:val="9"/>
    <w:unhideWhenUsed/>
    <w:rsid w:val="00AA1C7D"/>
    <w:rPr>
      <w:sz w:val="20"/>
      <w:szCs w:val="20"/>
    </w:rPr>
  </w:style>
  <w:style w:type="character" w:customStyle="1" w:styleId="FootnoteTextChar">
    <w:name w:val="Footnote Text Char"/>
    <w:basedOn w:val="DefaultParagraphFont"/>
    <w:link w:val="FootnoteText"/>
    <w:uiPriority w:val="9"/>
    <w:rsid w:val="00AA1C7D"/>
    <w:rPr>
      <w:sz w:val="20"/>
      <w:szCs w:val="20"/>
    </w:rPr>
  </w:style>
  <w:style w:type="character" w:styleId="FootnoteReference">
    <w:name w:val="footnote reference"/>
    <w:basedOn w:val="DefaultParagraphFont"/>
    <w:uiPriority w:val="8"/>
    <w:unhideWhenUsed/>
    <w:rsid w:val="00AA1C7D"/>
    <w:rPr>
      <w:vertAlign w:val="superscript"/>
    </w:rPr>
  </w:style>
  <w:style w:type="table" w:styleId="MediumList2-Accent1">
    <w:name w:val="Medium List 2 Accent 1"/>
    <w:basedOn w:val="TableNormal"/>
    <w:uiPriority w:val="66"/>
    <w:rsid w:val="00B974C9"/>
    <w:rPr>
      <w:rFonts w:asciiTheme="majorHAnsi" w:eastAsiaTheme="majorEastAsia" w:hAnsiTheme="majorHAnsi" w:cstheme="majorBidi"/>
      <w:color w:val="000000" w:themeColor="text1"/>
      <w:sz w:val="22"/>
      <w:szCs w:val="22"/>
      <w:lang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2C526D"/>
    <w:pPr>
      <w:tabs>
        <w:tab w:val="center" w:pos="4680"/>
        <w:tab w:val="right" w:pos="9360"/>
      </w:tabs>
    </w:pPr>
  </w:style>
  <w:style w:type="character" w:customStyle="1" w:styleId="HeaderChar">
    <w:name w:val="Header Char"/>
    <w:basedOn w:val="DefaultParagraphFont"/>
    <w:link w:val="Header"/>
    <w:uiPriority w:val="99"/>
    <w:rsid w:val="002C526D"/>
  </w:style>
  <w:style w:type="paragraph" w:styleId="Footer">
    <w:name w:val="footer"/>
    <w:basedOn w:val="Normal"/>
    <w:link w:val="FooterChar"/>
    <w:uiPriority w:val="99"/>
    <w:unhideWhenUsed/>
    <w:rsid w:val="002C526D"/>
    <w:pPr>
      <w:tabs>
        <w:tab w:val="center" w:pos="4680"/>
        <w:tab w:val="right" w:pos="9360"/>
      </w:tabs>
    </w:pPr>
  </w:style>
  <w:style w:type="character" w:customStyle="1" w:styleId="FooterChar">
    <w:name w:val="Footer Char"/>
    <w:basedOn w:val="DefaultParagraphFont"/>
    <w:link w:val="Footer"/>
    <w:uiPriority w:val="99"/>
    <w:rsid w:val="002C526D"/>
  </w:style>
  <w:style w:type="paragraph" w:styleId="ListParagraph">
    <w:name w:val="List Paragraph"/>
    <w:basedOn w:val="Normal"/>
    <w:uiPriority w:val="34"/>
    <w:unhideWhenUsed/>
    <w:qFormat/>
    <w:rsid w:val="00FF7A8E"/>
    <w:pPr>
      <w:ind w:left="720"/>
      <w:contextualSpacing/>
    </w:pPr>
  </w:style>
  <w:style w:type="character" w:styleId="CommentReference">
    <w:name w:val="annotation reference"/>
    <w:basedOn w:val="DefaultParagraphFont"/>
    <w:uiPriority w:val="99"/>
    <w:semiHidden/>
    <w:unhideWhenUsed/>
    <w:rsid w:val="00BE1620"/>
    <w:rPr>
      <w:sz w:val="16"/>
      <w:szCs w:val="16"/>
    </w:rPr>
  </w:style>
  <w:style w:type="paragraph" w:styleId="CommentText">
    <w:name w:val="annotation text"/>
    <w:basedOn w:val="Normal"/>
    <w:link w:val="CommentTextChar"/>
    <w:uiPriority w:val="99"/>
    <w:semiHidden/>
    <w:unhideWhenUsed/>
    <w:rsid w:val="00BE1620"/>
    <w:rPr>
      <w:sz w:val="20"/>
      <w:szCs w:val="20"/>
    </w:rPr>
  </w:style>
  <w:style w:type="character" w:customStyle="1" w:styleId="CommentTextChar">
    <w:name w:val="Comment Text Char"/>
    <w:basedOn w:val="DefaultParagraphFont"/>
    <w:link w:val="CommentText"/>
    <w:uiPriority w:val="99"/>
    <w:semiHidden/>
    <w:rsid w:val="00BE1620"/>
    <w:rPr>
      <w:sz w:val="20"/>
      <w:szCs w:val="20"/>
    </w:rPr>
  </w:style>
  <w:style w:type="paragraph" w:styleId="CommentSubject">
    <w:name w:val="annotation subject"/>
    <w:basedOn w:val="CommentText"/>
    <w:next w:val="CommentText"/>
    <w:link w:val="CommentSubjectChar"/>
    <w:uiPriority w:val="99"/>
    <w:semiHidden/>
    <w:unhideWhenUsed/>
    <w:rsid w:val="00BE1620"/>
    <w:rPr>
      <w:b/>
      <w:bCs/>
    </w:rPr>
  </w:style>
  <w:style w:type="character" w:customStyle="1" w:styleId="CommentSubjectChar">
    <w:name w:val="Comment Subject Char"/>
    <w:basedOn w:val="CommentTextChar"/>
    <w:link w:val="CommentSubject"/>
    <w:uiPriority w:val="99"/>
    <w:semiHidden/>
    <w:rsid w:val="00BE1620"/>
    <w:rPr>
      <w:b/>
      <w:bCs/>
      <w:sz w:val="20"/>
      <w:szCs w:val="20"/>
    </w:rPr>
  </w:style>
  <w:style w:type="paragraph" w:styleId="EndnoteText">
    <w:name w:val="endnote text"/>
    <w:basedOn w:val="Normal"/>
    <w:link w:val="EndnoteTextChar"/>
    <w:uiPriority w:val="99"/>
    <w:semiHidden/>
    <w:unhideWhenUsed/>
    <w:rsid w:val="00C77039"/>
    <w:rPr>
      <w:sz w:val="20"/>
      <w:szCs w:val="20"/>
    </w:rPr>
  </w:style>
  <w:style w:type="character" w:customStyle="1" w:styleId="EndnoteTextChar">
    <w:name w:val="Endnote Text Char"/>
    <w:basedOn w:val="DefaultParagraphFont"/>
    <w:link w:val="EndnoteText"/>
    <w:uiPriority w:val="99"/>
    <w:semiHidden/>
    <w:rsid w:val="00C77039"/>
    <w:rPr>
      <w:sz w:val="20"/>
      <w:szCs w:val="20"/>
    </w:rPr>
  </w:style>
  <w:style w:type="character" w:styleId="EndnoteReference">
    <w:name w:val="endnote reference"/>
    <w:basedOn w:val="DefaultParagraphFont"/>
    <w:uiPriority w:val="99"/>
    <w:semiHidden/>
    <w:unhideWhenUsed/>
    <w:rsid w:val="00C770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19" w:unhideWhenUsed="0" w:qFormat="1"/>
    <w:lsdException w:name="heading 1" w:semiHidden="0" w:uiPriority="10" w:unhideWhenUsed="0"/>
    <w:lsdException w:name="heading 2" w:uiPriority="11" w:qFormat="1"/>
    <w:lsdException w:name="heading 3" w:uiPriority="12" w:qFormat="1"/>
    <w:lsdException w:name="heading 4" w:uiPriority="13" w:qFormat="1"/>
    <w:lsdException w:name="heading 5" w:uiPriority="14" w:qFormat="1"/>
    <w:lsdException w:name="heading 6" w:uiPriority="15" w:qFormat="1"/>
    <w:lsdException w:name="heading 7" w:uiPriority="16" w:qFormat="1"/>
    <w:lsdException w:name="heading 8" w:uiPriority="17"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lsdException w:name="caption" w:uiPriority="35" w:qFormat="1"/>
    <w:lsdException w:name="footnote reference" w:uiPriority="8"/>
    <w:lsdException w:name="Title" w:semiHidden="0" w:uiPriority="1" w:unhideWhenUsed="0" w:qFormat="1"/>
    <w:lsdException w:name="Default Paragraph Font" w:uiPriority="1"/>
    <w:lsdException w:name="Body Text" w:uiPriority="0" w:qFormat="1"/>
    <w:lsdException w:name="Subtitle" w:semiHidden="0" w:uiPriority="2" w:unhideWhenUsed="0" w:qFormat="1"/>
    <w:lsdException w:name="Body Text 2" w:uiPriority="0" w:qFormat="1"/>
    <w:lsdException w:name="Body Text 3" w:uiPriority="0" w:qFormat="1"/>
    <w:lsdException w:name="Block Text" w:semiHidden="0" w:uiPriority="4"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6"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9"/>
    <w:qFormat/>
    <w:rsid w:val="007F2D2B"/>
  </w:style>
  <w:style w:type="paragraph" w:styleId="Heading1">
    <w:name w:val="heading 1"/>
    <w:basedOn w:val="Normal"/>
    <w:next w:val="Normal"/>
    <w:link w:val="Heading1Char"/>
    <w:uiPriority w:val="10"/>
    <w:unhideWhenUsed/>
    <w:rsid w:val="00AA1C7D"/>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11"/>
    <w:semiHidden/>
    <w:unhideWhenUsed/>
    <w:qFormat/>
    <w:rsid w:val="00AA1C7D"/>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12"/>
    <w:semiHidden/>
    <w:unhideWhenUsed/>
    <w:qFormat/>
    <w:rsid w:val="00A53EFF"/>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13"/>
    <w:semiHidden/>
    <w:unhideWhenUsed/>
    <w:qFormat/>
    <w:rsid w:val="00A53EFF"/>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14"/>
    <w:semiHidden/>
    <w:unhideWhenUsed/>
    <w:qFormat/>
    <w:rsid w:val="00A53EFF"/>
    <w:pPr>
      <w:keepNext/>
      <w:keepLines/>
      <w:spacing w:before="200"/>
      <w:outlineLvl w:val="4"/>
    </w:pPr>
    <w:rPr>
      <w:rFonts w:eastAsiaTheme="majorEastAsia" w:cstheme="majorBidi"/>
    </w:rPr>
  </w:style>
  <w:style w:type="paragraph" w:styleId="Heading6">
    <w:name w:val="heading 6"/>
    <w:basedOn w:val="Normal"/>
    <w:next w:val="Normal"/>
    <w:link w:val="Heading6Char"/>
    <w:uiPriority w:val="15"/>
    <w:semiHidden/>
    <w:unhideWhenUsed/>
    <w:qFormat/>
    <w:rsid w:val="00A53EFF"/>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16"/>
    <w:semiHidden/>
    <w:unhideWhenUsed/>
    <w:qFormat/>
    <w:rsid w:val="00A53EFF"/>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17"/>
    <w:semiHidden/>
    <w:unhideWhenUsed/>
    <w:qFormat/>
    <w:rsid w:val="00A53EFF"/>
    <w:pPr>
      <w:keepNext/>
      <w:keepLines/>
      <w:spacing w:before="200"/>
      <w:outlineLvl w:val="7"/>
    </w:pPr>
    <w:rPr>
      <w:rFonts w:eastAsiaTheme="majorEastAsia" w:cstheme="majorBidi"/>
      <w:szCs w:val="20"/>
    </w:rPr>
  </w:style>
  <w:style w:type="paragraph" w:styleId="Heading9">
    <w:name w:val="heading 9"/>
    <w:basedOn w:val="Normal"/>
    <w:next w:val="Normal"/>
    <w:link w:val="Heading9Char"/>
    <w:uiPriority w:val="18"/>
    <w:semiHidden/>
    <w:unhideWhenUsed/>
    <w:qFormat/>
    <w:rsid w:val="00A53EFF"/>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rsid w:val="00AA1C7D"/>
    <w:rPr>
      <w:rFonts w:eastAsiaTheme="majorEastAsia" w:cstheme="majorBidi"/>
      <w:b/>
      <w:bCs/>
      <w:szCs w:val="28"/>
    </w:rPr>
  </w:style>
  <w:style w:type="paragraph" w:styleId="BodyText">
    <w:name w:val="Body Text"/>
    <w:basedOn w:val="Normal"/>
    <w:link w:val="BodyTextChar"/>
    <w:qFormat/>
    <w:rsid w:val="00315A18"/>
    <w:pPr>
      <w:spacing w:after="240"/>
    </w:pPr>
  </w:style>
  <w:style w:type="character" w:customStyle="1" w:styleId="BodyTextChar">
    <w:name w:val="Body Text Char"/>
    <w:basedOn w:val="DefaultParagraphFont"/>
    <w:link w:val="BodyText"/>
    <w:rsid w:val="00315A18"/>
  </w:style>
  <w:style w:type="paragraph" w:styleId="BodyText2">
    <w:name w:val="Body Text 2"/>
    <w:basedOn w:val="Normal"/>
    <w:link w:val="BodyText2Char"/>
    <w:qFormat/>
    <w:rsid w:val="00315A18"/>
    <w:pPr>
      <w:spacing w:after="240"/>
      <w:ind w:firstLine="720"/>
    </w:pPr>
  </w:style>
  <w:style w:type="character" w:customStyle="1" w:styleId="BodyText2Char">
    <w:name w:val="Body Text 2 Char"/>
    <w:basedOn w:val="DefaultParagraphFont"/>
    <w:link w:val="BodyText2"/>
    <w:rsid w:val="00315A18"/>
  </w:style>
  <w:style w:type="paragraph" w:styleId="BodyText3">
    <w:name w:val="Body Text 3"/>
    <w:basedOn w:val="Normal"/>
    <w:link w:val="BodyText3Char"/>
    <w:qFormat/>
    <w:rsid w:val="00AA1C7D"/>
    <w:pPr>
      <w:spacing w:after="240"/>
      <w:ind w:firstLine="1440"/>
    </w:pPr>
    <w:rPr>
      <w:szCs w:val="16"/>
    </w:rPr>
  </w:style>
  <w:style w:type="character" w:customStyle="1" w:styleId="BodyText3Char">
    <w:name w:val="Body Text 3 Char"/>
    <w:basedOn w:val="DefaultParagraphFont"/>
    <w:link w:val="BodyText3"/>
    <w:rsid w:val="00AA1C7D"/>
    <w:rPr>
      <w:szCs w:val="16"/>
    </w:rPr>
  </w:style>
  <w:style w:type="paragraph" w:styleId="Title">
    <w:name w:val="Title"/>
    <w:basedOn w:val="Normal"/>
    <w:next w:val="Normal"/>
    <w:link w:val="TitleChar"/>
    <w:uiPriority w:val="1"/>
    <w:qFormat/>
    <w:rsid w:val="00AA1C7D"/>
    <w:pPr>
      <w:spacing w:after="240"/>
      <w:contextualSpacing/>
      <w:jc w:val="center"/>
    </w:pPr>
    <w:rPr>
      <w:rFonts w:eastAsiaTheme="majorEastAsia" w:cstheme="majorBidi"/>
      <w:b/>
      <w:kern w:val="28"/>
      <w:szCs w:val="52"/>
    </w:rPr>
  </w:style>
  <w:style w:type="character" w:customStyle="1" w:styleId="TitleChar">
    <w:name w:val="Title Char"/>
    <w:basedOn w:val="DefaultParagraphFont"/>
    <w:link w:val="Title"/>
    <w:uiPriority w:val="1"/>
    <w:rsid w:val="00AA1C7D"/>
    <w:rPr>
      <w:rFonts w:eastAsiaTheme="majorEastAsia" w:cstheme="majorBidi"/>
      <w:b/>
      <w:kern w:val="28"/>
      <w:szCs w:val="52"/>
    </w:rPr>
  </w:style>
  <w:style w:type="paragraph" w:styleId="Subtitle">
    <w:name w:val="Subtitle"/>
    <w:basedOn w:val="Normal"/>
    <w:next w:val="Normal"/>
    <w:link w:val="SubtitleChar"/>
    <w:uiPriority w:val="2"/>
    <w:qFormat/>
    <w:rsid w:val="00AA1C7D"/>
    <w:pPr>
      <w:numPr>
        <w:ilvl w:val="1"/>
      </w:numPr>
      <w:spacing w:after="240"/>
    </w:pPr>
    <w:rPr>
      <w:rFonts w:eastAsiaTheme="majorEastAsia" w:cstheme="majorBidi"/>
      <w:b/>
      <w:iCs/>
    </w:rPr>
  </w:style>
  <w:style w:type="character" w:customStyle="1" w:styleId="SubtitleChar">
    <w:name w:val="Subtitle Char"/>
    <w:basedOn w:val="DefaultParagraphFont"/>
    <w:link w:val="Subtitle"/>
    <w:uiPriority w:val="2"/>
    <w:rsid w:val="00AA1C7D"/>
    <w:rPr>
      <w:rFonts w:eastAsiaTheme="majorEastAsia" w:cstheme="majorBidi"/>
      <w:b/>
      <w:iCs/>
    </w:rPr>
  </w:style>
  <w:style w:type="paragraph" w:styleId="BlockText">
    <w:name w:val="Block Text"/>
    <w:basedOn w:val="Normal"/>
    <w:uiPriority w:val="4"/>
    <w:qFormat/>
    <w:rsid w:val="00AA1C7D"/>
    <w:pPr>
      <w:spacing w:after="240"/>
      <w:ind w:left="720" w:right="720"/>
    </w:pPr>
    <w:rPr>
      <w:rFonts w:eastAsiaTheme="minorEastAsia"/>
      <w:iCs/>
    </w:rPr>
  </w:style>
  <w:style w:type="paragraph" w:styleId="BalloonText">
    <w:name w:val="Balloon Text"/>
    <w:basedOn w:val="Normal"/>
    <w:link w:val="BalloonTextChar"/>
    <w:uiPriority w:val="99"/>
    <w:semiHidden/>
    <w:unhideWhenUsed/>
    <w:rsid w:val="00A53EFF"/>
    <w:rPr>
      <w:rFonts w:ascii="Tahoma" w:hAnsi="Tahoma" w:cs="Tahoma"/>
      <w:sz w:val="16"/>
      <w:szCs w:val="16"/>
    </w:rPr>
  </w:style>
  <w:style w:type="character" w:customStyle="1" w:styleId="BalloonTextChar">
    <w:name w:val="Balloon Text Char"/>
    <w:basedOn w:val="DefaultParagraphFont"/>
    <w:link w:val="BalloonText"/>
    <w:uiPriority w:val="99"/>
    <w:semiHidden/>
    <w:rsid w:val="00A53EFF"/>
    <w:rPr>
      <w:rFonts w:ascii="Tahoma" w:hAnsi="Tahoma" w:cs="Tahoma"/>
      <w:sz w:val="16"/>
      <w:szCs w:val="16"/>
    </w:rPr>
  </w:style>
  <w:style w:type="table" w:styleId="TableGrid">
    <w:name w:val="Table Grid"/>
    <w:basedOn w:val="TableNormal"/>
    <w:uiPriority w:val="59"/>
    <w:rsid w:val="00AA1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6"/>
    <w:qFormat/>
    <w:rsid w:val="00AA1C7D"/>
    <w:pPr>
      <w:spacing w:after="240"/>
    </w:pPr>
    <w:rPr>
      <w:i/>
      <w:iCs/>
      <w:color w:val="000000" w:themeColor="text1"/>
    </w:rPr>
  </w:style>
  <w:style w:type="character" w:customStyle="1" w:styleId="QuoteChar">
    <w:name w:val="Quote Char"/>
    <w:basedOn w:val="DefaultParagraphFont"/>
    <w:link w:val="Quote"/>
    <w:uiPriority w:val="6"/>
    <w:rsid w:val="00AA1C7D"/>
    <w:rPr>
      <w:i/>
      <w:iCs/>
      <w:color w:val="000000" w:themeColor="text1"/>
    </w:rPr>
  </w:style>
  <w:style w:type="paragraph" w:styleId="NoSpacing">
    <w:name w:val="No Spacing"/>
    <w:uiPriority w:val="20"/>
    <w:qFormat/>
    <w:rsid w:val="00AA1C7D"/>
  </w:style>
  <w:style w:type="paragraph" w:customStyle="1" w:styleId="SignatureBy">
    <w:name w:val="Signature By:"/>
    <w:basedOn w:val="Normal"/>
    <w:uiPriority w:val="3"/>
    <w:qFormat/>
    <w:rsid w:val="00AA1C7D"/>
    <w:pPr>
      <w:tabs>
        <w:tab w:val="left" w:pos="5580"/>
        <w:tab w:val="right" w:leader="underscore" w:pos="9360"/>
      </w:tabs>
      <w:spacing w:after="240"/>
      <w:ind w:left="5587" w:hanging="547"/>
    </w:pPr>
  </w:style>
  <w:style w:type="character" w:customStyle="1" w:styleId="Heading2Char">
    <w:name w:val="Heading 2 Char"/>
    <w:basedOn w:val="DefaultParagraphFont"/>
    <w:link w:val="Heading2"/>
    <w:uiPriority w:val="11"/>
    <w:semiHidden/>
    <w:rsid w:val="00AA1C7D"/>
    <w:rPr>
      <w:rFonts w:eastAsiaTheme="majorEastAsia" w:cstheme="majorBidi"/>
      <w:b/>
      <w:bCs/>
      <w:szCs w:val="26"/>
    </w:rPr>
  </w:style>
  <w:style w:type="character" w:customStyle="1" w:styleId="Heading3Char">
    <w:name w:val="Heading 3 Char"/>
    <w:basedOn w:val="DefaultParagraphFont"/>
    <w:link w:val="Heading3"/>
    <w:uiPriority w:val="12"/>
    <w:semiHidden/>
    <w:rsid w:val="00A53EFF"/>
    <w:rPr>
      <w:rFonts w:eastAsiaTheme="majorEastAsia" w:cstheme="majorBidi"/>
      <w:b/>
      <w:bCs/>
    </w:rPr>
  </w:style>
  <w:style w:type="character" w:customStyle="1" w:styleId="Heading4Char">
    <w:name w:val="Heading 4 Char"/>
    <w:basedOn w:val="DefaultParagraphFont"/>
    <w:link w:val="Heading4"/>
    <w:uiPriority w:val="13"/>
    <w:semiHidden/>
    <w:rsid w:val="00A53EFF"/>
    <w:rPr>
      <w:rFonts w:eastAsiaTheme="majorEastAsia" w:cstheme="majorBidi"/>
      <w:b/>
      <w:bCs/>
      <w:i/>
      <w:iCs/>
    </w:rPr>
  </w:style>
  <w:style w:type="character" w:customStyle="1" w:styleId="Heading5Char">
    <w:name w:val="Heading 5 Char"/>
    <w:basedOn w:val="DefaultParagraphFont"/>
    <w:link w:val="Heading5"/>
    <w:uiPriority w:val="14"/>
    <w:semiHidden/>
    <w:rsid w:val="00A53EFF"/>
    <w:rPr>
      <w:rFonts w:eastAsiaTheme="majorEastAsia" w:cstheme="majorBidi"/>
    </w:rPr>
  </w:style>
  <w:style w:type="character" w:customStyle="1" w:styleId="Heading6Char">
    <w:name w:val="Heading 6 Char"/>
    <w:basedOn w:val="DefaultParagraphFont"/>
    <w:link w:val="Heading6"/>
    <w:uiPriority w:val="15"/>
    <w:semiHidden/>
    <w:rsid w:val="00A53EFF"/>
    <w:rPr>
      <w:rFonts w:eastAsiaTheme="majorEastAsia" w:cstheme="majorBidi"/>
      <w:i/>
      <w:iCs/>
    </w:rPr>
  </w:style>
  <w:style w:type="character" w:customStyle="1" w:styleId="Heading7Char">
    <w:name w:val="Heading 7 Char"/>
    <w:basedOn w:val="DefaultParagraphFont"/>
    <w:link w:val="Heading7"/>
    <w:uiPriority w:val="16"/>
    <w:semiHidden/>
    <w:rsid w:val="00A53EFF"/>
    <w:rPr>
      <w:rFonts w:eastAsiaTheme="majorEastAsia" w:cstheme="majorBidi"/>
      <w:i/>
      <w:iCs/>
    </w:rPr>
  </w:style>
  <w:style w:type="character" w:customStyle="1" w:styleId="Heading8Char">
    <w:name w:val="Heading 8 Char"/>
    <w:basedOn w:val="DefaultParagraphFont"/>
    <w:link w:val="Heading8"/>
    <w:uiPriority w:val="17"/>
    <w:semiHidden/>
    <w:rsid w:val="00A53EFF"/>
    <w:rPr>
      <w:rFonts w:eastAsiaTheme="majorEastAsia" w:cstheme="majorBidi"/>
      <w:szCs w:val="20"/>
    </w:rPr>
  </w:style>
  <w:style w:type="character" w:customStyle="1" w:styleId="Heading9Char">
    <w:name w:val="Heading 9 Char"/>
    <w:basedOn w:val="DefaultParagraphFont"/>
    <w:link w:val="Heading9"/>
    <w:uiPriority w:val="18"/>
    <w:semiHidden/>
    <w:rsid w:val="00A53EFF"/>
    <w:rPr>
      <w:rFonts w:eastAsiaTheme="majorEastAsia" w:cstheme="majorBidi"/>
      <w:i/>
      <w:iCs/>
      <w:szCs w:val="20"/>
    </w:rPr>
  </w:style>
  <w:style w:type="paragraph" w:customStyle="1" w:styleId="Title2">
    <w:name w:val="Title 2"/>
    <w:basedOn w:val="Normal"/>
    <w:rsid w:val="00AA1C7D"/>
    <w:pPr>
      <w:spacing w:after="240"/>
      <w:jc w:val="center"/>
    </w:pPr>
    <w:rPr>
      <w:b/>
      <w:u w:val="single"/>
    </w:rPr>
  </w:style>
  <w:style w:type="paragraph" w:customStyle="1" w:styleId="Title3">
    <w:name w:val="Title 3"/>
    <w:basedOn w:val="Normal"/>
    <w:rsid w:val="00AA1C7D"/>
    <w:pPr>
      <w:spacing w:after="240"/>
      <w:jc w:val="center"/>
    </w:pPr>
    <w:rPr>
      <w:b/>
      <w:i/>
    </w:rPr>
  </w:style>
  <w:style w:type="paragraph" w:customStyle="1" w:styleId="Subtitle2">
    <w:name w:val="Subtitle 2"/>
    <w:basedOn w:val="Normal"/>
    <w:rsid w:val="00AA1C7D"/>
    <w:pPr>
      <w:spacing w:after="240"/>
    </w:pPr>
    <w:rPr>
      <w:b/>
      <w:u w:val="single"/>
    </w:rPr>
  </w:style>
  <w:style w:type="paragraph" w:customStyle="1" w:styleId="Subtitle3">
    <w:name w:val="Subtitle 3"/>
    <w:basedOn w:val="Normal"/>
    <w:rsid w:val="00AA1C7D"/>
    <w:pPr>
      <w:spacing w:after="240"/>
    </w:pPr>
    <w:rPr>
      <w:b/>
      <w:i/>
    </w:rPr>
  </w:style>
  <w:style w:type="paragraph" w:styleId="FootnoteText">
    <w:name w:val="footnote text"/>
    <w:basedOn w:val="Normal"/>
    <w:link w:val="FootnoteTextChar"/>
    <w:uiPriority w:val="9"/>
    <w:unhideWhenUsed/>
    <w:rsid w:val="00AA1C7D"/>
    <w:rPr>
      <w:sz w:val="20"/>
      <w:szCs w:val="20"/>
    </w:rPr>
  </w:style>
  <w:style w:type="character" w:customStyle="1" w:styleId="FootnoteTextChar">
    <w:name w:val="Footnote Text Char"/>
    <w:basedOn w:val="DefaultParagraphFont"/>
    <w:link w:val="FootnoteText"/>
    <w:uiPriority w:val="9"/>
    <w:rsid w:val="00AA1C7D"/>
    <w:rPr>
      <w:sz w:val="20"/>
      <w:szCs w:val="20"/>
    </w:rPr>
  </w:style>
  <w:style w:type="character" w:styleId="FootnoteReference">
    <w:name w:val="footnote reference"/>
    <w:basedOn w:val="DefaultParagraphFont"/>
    <w:uiPriority w:val="8"/>
    <w:unhideWhenUsed/>
    <w:rsid w:val="00AA1C7D"/>
    <w:rPr>
      <w:vertAlign w:val="superscript"/>
    </w:rPr>
  </w:style>
  <w:style w:type="table" w:styleId="MediumList2-Accent1">
    <w:name w:val="Medium List 2 Accent 1"/>
    <w:basedOn w:val="TableNormal"/>
    <w:uiPriority w:val="66"/>
    <w:rsid w:val="00B974C9"/>
    <w:rPr>
      <w:rFonts w:asciiTheme="majorHAnsi" w:eastAsiaTheme="majorEastAsia" w:hAnsiTheme="majorHAnsi" w:cstheme="majorBidi"/>
      <w:color w:val="000000" w:themeColor="text1"/>
      <w:sz w:val="22"/>
      <w:szCs w:val="22"/>
      <w:lang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2C526D"/>
    <w:pPr>
      <w:tabs>
        <w:tab w:val="center" w:pos="4680"/>
        <w:tab w:val="right" w:pos="9360"/>
      </w:tabs>
    </w:pPr>
  </w:style>
  <w:style w:type="character" w:customStyle="1" w:styleId="HeaderChar">
    <w:name w:val="Header Char"/>
    <w:basedOn w:val="DefaultParagraphFont"/>
    <w:link w:val="Header"/>
    <w:uiPriority w:val="99"/>
    <w:rsid w:val="002C526D"/>
  </w:style>
  <w:style w:type="paragraph" w:styleId="Footer">
    <w:name w:val="footer"/>
    <w:basedOn w:val="Normal"/>
    <w:link w:val="FooterChar"/>
    <w:uiPriority w:val="99"/>
    <w:unhideWhenUsed/>
    <w:rsid w:val="002C526D"/>
    <w:pPr>
      <w:tabs>
        <w:tab w:val="center" w:pos="4680"/>
        <w:tab w:val="right" w:pos="9360"/>
      </w:tabs>
    </w:pPr>
  </w:style>
  <w:style w:type="character" w:customStyle="1" w:styleId="FooterChar">
    <w:name w:val="Footer Char"/>
    <w:basedOn w:val="DefaultParagraphFont"/>
    <w:link w:val="Footer"/>
    <w:uiPriority w:val="99"/>
    <w:rsid w:val="002C526D"/>
  </w:style>
  <w:style w:type="paragraph" w:styleId="ListParagraph">
    <w:name w:val="List Paragraph"/>
    <w:basedOn w:val="Normal"/>
    <w:uiPriority w:val="34"/>
    <w:unhideWhenUsed/>
    <w:qFormat/>
    <w:rsid w:val="00FF7A8E"/>
    <w:pPr>
      <w:ind w:left="720"/>
      <w:contextualSpacing/>
    </w:pPr>
  </w:style>
  <w:style w:type="character" w:styleId="CommentReference">
    <w:name w:val="annotation reference"/>
    <w:basedOn w:val="DefaultParagraphFont"/>
    <w:uiPriority w:val="99"/>
    <w:semiHidden/>
    <w:unhideWhenUsed/>
    <w:rsid w:val="00BE1620"/>
    <w:rPr>
      <w:sz w:val="16"/>
      <w:szCs w:val="16"/>
    </w:rPr>
  </w:style>
  <w:style w:type="paragraph" w:styleId="CommentText">
    <w:name w:val="annotation text"/>
    <w:basedOn w:val="Normal"/>
    <w:link w:val="CommentTextChar"/>
    <w:uiPriority w:val="99"/>
    <w:semiHidden/>
    <w:unhideWhenUsed/>
    <w:rsid w:val="00BE1620"/>
    <w:rPr>
      <w:sz w:val="20"/>
      <w:szCs w:val="20"/>
    </w:rPr>
  </w:style>
  <w:style w:type="character" w:customStyle="1" w:styleId="CommentTextChar">
    <w:name w:val="Comment Text Char"/>
    <w:basedOn w:val="DefaultParagraphFont"/>
    <w:link w:val="CommentText"/>
    <w:uiPriority w:val="99"/>
    <w:semiHidden/>
    <w:rsid w:val="00BE1620"/>
    <w:rPr>
      <w:sz w:val="20"/>
      <w:szCs w:val="20"/>
    </w:rPr>
  </w:style>
  <w:style w:type="paragraph" w:styleId="CommentSubject">
    <w:name w:val="annotation subject"/>
    <w:basedOn w:val="CommentText"/>
    <w:next w:val="CommentText"/>
    <w:link w:val="CommentSubjectChar"/>
    <w:uiPriority w:val="99"/>
    <w:semiHidden/>
    <w:unhideWhenUsed/>
    <w:rsid w:val="00BE1620"/>
    <w:rPr>
      <w:b/>
      <w:bCs/>
    </w:rPr>
  </w:style>
  <w:style w:type="character" w:customStyle="1" w:styleId="CommentSubjectChar">
    <w:name w:val="Comment Subject Char"/>
    <w:basedOn w:val="CommentTextChar"/>
    <w:link w:val="CommentSubject"/>
    <w:uiPriority w:val="99"/>
    <w:semiHidden/>
    <w:rsid w:val="00BE1620"/>
    <w:rPr>
      <w:b/>
      <w:bCs/>
      <w:sz w:val="20"/>
      <w:szCs w:val="20"/>
    </w:rPr>
  </w:style>
  <w:style w:type="paragraph" w:styleId="EndnoteText">
    <w:name w:val="endnote text"/>
    <w:basedOn w:val="Normal"/>
    <w:link w:val="EndnoteTextChar"/>
    <w:uiPriority w:val="99"/>
    <w:semiHidden/>
    <w:unhideWhenUsed/>
    <w:rsid w:val="00C77039"/>
    <w:rPr>
      <w:sz w:val="20"/>
      <w:szCs w:val="20"/>
    </w:rPr>
  </w:style>
  <w:style w:type="character" w:customStyle="1" w:styleId="EndnoteTextChar">
    <w:name w:val="Endnote Text Char"/>
    <w:basedOn w:val="DefaultParagraphFont"/>
    <w:link w:val="EndnoteText"/>
    <w:uiPriority w:val="99"/>
    <w:semiHidden/>
    <w:rsid w:val="00C77039"/>
    <w:rPr>
      <w:sz w:val="20"/>
      <w:szCs w:val="20"/>
    </w:rPr>
  </w:style>
  <w:style w:type="character" w:styleId="EndnoteReference">
    <w:name w:val="endnote reference"/>
    <w:basedOn w:val="DefaultParagraphFont"/>
    <w:uiPriority w:val="99"/>
    <w:semiHidden/>
    <w:unhideWhenUsed/>
    <w:rsid w:val="00C770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D9D9B-2C75-43E0-9BFF-D3BBD534C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410</Words>
  <Characters>2280</Characters>
  <Application>Microsoft Office Word</Application>
  <DocSecurity>0</DocSecurity>
  <Lines>253</Lines>
  <Paragraphs>23</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2014-04-14T20:05:00Z</cp:lastPrinted>
  <dcterms:created xsi:type="dcterms:W3CDTF">2014-05-20T15:17:00Z</dcterms:created>
  <dcterms:modified xsi:type="dcterms:W3CDTF">2014-05-20T15:17:00Z</dcterms:modified>
</cp:coreProperties>
</file>